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0"/>
      </w:pPr>
      <w:r>
        <w:drawing>
          <wp:inline xmlns:a="http://schemas.openxmlformats.org/drawingml/2006/main" xmlns:pic="http://schemas.openxmlformats.org/drawingml/2006/picture">
            <wp:extent cx="2520000" cy="672000"/>
            <wp:docPr id="1" name="Picture 1"/>
            <wp:cNvGraphicFramePr>
              <a:graphicFrameLocks noChangeAspect="1"/>
            </wp:cNvGraphicFramePr>
            <a:graphic>
              <a:graphicData uri="http://schemas.openxmlformats.org/drawingml/2006/picture">
                <pic:pic>
                  <pic:nvPicPr>
                    <pic:cNvPr id="0" name="logo_360ds.png"/>
                    <pic:cNvPicPr/>
                  </pic:nvPicPr>
                  <pic:blipFill>
                    <a:blip r:embed="rId11"/>
                    <a:stretch>
                      <a:fillRect/>
                    </a:stretch>
                  </pic:blipFill>
                  <pic:spPr>
                    <a:xfrm>
                      <a:off x="0" y="0"/>
                      <a:ext cx="2520000" cy="672000"/>
                    </a:xfrm>
                    <a:prstGeom prst="rect"/>
                  </pic:spPr>
                </pic:pic>
              </a:graphicData>
            </a:graphic>
          </wp:inline>
        </w:drawing>
      </w:r>
    </w:p>
    <w:p>
      <w:pPr>
        <w:spacing w:after="0"/>
      </w:pPr>
    </w:p>
    <w:p>
      <w:pPr>
        <w:spacing w:after="0"/>
      </w:pPr>
    </w:p>
    <w:p>
      <w:pPr>
        <w:spacing w:after="0"/>
      </w:pPr>
    </w:p>
    <w:p>
      <w:pPr>
        <w:spacing w:before="1600" w:after="120"/>
      </w:pPr>
      <w:r>
        <w:rPr>
          <w:rFonts w:ascii="Calibri" w:hAnsi="Calibri"/>
          <w:b/>
          <w:i w:val="0"/>
          <w:color w:val="1E2761"/>
          <w:sz w:val="72"/>
        </w:rPr>
        <w:t>Capability Statement</w:t>
      </w:r>
    </w:p>
    <w:p>
      <w:pPr>
        <w:spacing w:after="40"/>
      </w:pPr>
      <w:r>
        <w:rPr>
          <w:rFonts w:ascii="Calibri" w:hAnsi="Calibri"/>
          <w:b w:val="0"/>
          <w:i w:val="0"/>
          <w:color w:val="36454F"/>
          <w:sz w:val="40"/>
        </w:rPr>
        <w:t>Project and Program Management</w:t>
      </w:r>
    </w:p>
    <w:p>
      <w:pPr>
        <w:spacing w:after="400"/>
      </w:pPr>
      <w:r>
        <w:rPr>
          <w:rFonts w:ascii="Calibri" w:hAnsi="Calibri"/>
          <w:b w:val="0"/>
          <w:i w:val="0"/>
          <w:color w:val="36454F"/>
          <w:sz w:val="40"/>
        </w:rPr>
        <w:t>Claude Cowork - AI Workflow Implementation</w:t>
      </w:r>
    </w:p>
    <w:p>
      <w:pPr>
        <w:pBdr>
          <w:top w:val="single" w:sz="18" w:space="6" w:color="1E2761"/>
        </w:pBdr>
        <w:spacing w:before="160" w:after="200"/>
      </w:pPr>
    </w:p>
    <w:p>
      <w:pPr>
        <w:spacing w:after="80"/>
      </w:pPr>
      <w:r>
        <w:rPr>
          <w:rFonts w:ascii="Calibri" w:hAnsi="Calibri"/>
          <w:b/>
          <w:i/>
          <w:color w:val="1E2761"/>
          <w:sz w:val="28"/>
        </w:rPr>
        <w:t>Delivery. Governance. Assurance.</w:t>
      </w:r>
    </w:p>
    <w:p>
      <w:pPr>
        <w:spacing w:after="40"/>
      </w:pPr>
      <w:r>
        <w:rPr>
          <w:rFonts w:ascii="Calibri" w:hAnsi="Calibri"/>
          <w:b w:val="0"/>
          <w:i w:val="0"/>
          <w:color w:val="212B36"/>
          <w:sz w:val="22"/>
        </w:rPr>
        <w:t>Senior project, program, and AI implementation services for</w:t>
      </w:r>
    </w:p>
    <w:p>
      <w:pPr>
        <w:spacing w:after="0"/>
      </w:pPr>
      <w:r>
        <w:rPr>
          <w:rFonts w:ascii="Calibri" w:hAnsi="Calibri"/>
          <w:b w:val="0"/>
          <w:i w:val="0"/>
          <w:color w:val="212B36"/>
          <w:sz w:val="22"/>
        </w:rPr>
        <w:t>Australian government, enterprise, and regulated environments.</w:t>
      </w:r>
    </w:p>
    <w:p>
      <w:pPr>
        <w:spacing w:after="0"/>
      </w:pPr>
    </w:p>
    <w:p>
      <w:pPr>
        <w:spacing w:after="0"/>
      </w:pPr>
    </w:p>
    <w:p>
      <w:pPr>
        <w:spacing w:after="0"/>
      </w:pPr>
    </w:p>
    <w:p>
      <w:pPr>
        <w:spacing w:after="0"/>
      </w:pPr>
    </w:p>
    <w:p>
      <w:pPr>
        <w:spacing w:after="0"/>
      </w:pPr>
    </w:p>
    <w:p>
      <w:pPr>
        <w:spacing w:after="0"/>
      </w:pPr>
    </w:p>
    <w:p>
      <w:pPr>
        <w:spacing w:after="0"/>
      </w:pPr>
    </w:p>
    <w:p>
      <w:pPr>
        <w:spacing w:after="0"/>
      </w:pPr>
    </w:p>
    <w:p>
      <w:r>
        <w:rPr>
          <w:rFonts w:ascii="Calibri" w:hAnsi="Calibri"/>
          <w:b w:val="0"/>
          <w:i w:val="0"/>
          <w:color w:val="36454F"/>
          <w:sz w:val="20"/>
        </w:rPr>
        <w:t>Issued April 2026</w:t>
      </w:r>
    </w:p>
    <w:p>
      <w:r>
        <w:rPr>
          <w:rFonts w:ascii="Calibri" w:hAnsi="Calibri"/>
          <w:b/>
          <w:i w:val="0"/>
          <w:color w:val="1E2761"/>
          <w:sz w:val="20"/>
        </w:rPr>
        <w:t>360ds.com.au</w:t>
      </w:r>
    </w:p>
    <w:p>
      <w:r>
        <w:br w:type="page"/>
      </w:r>
    </w:p>
    <w:p>
      <w:pPr>
        <w:keepNext/>
        <w:pBdr>
          <w:bottom w:val="single" w:sz="8" w:space="6" w:color="1E2761"/>
        </w:pBdr>
        <w:spacing w:before="360" w:after="160"/>
      </w:pPr>
      <w:r>
        <w:rPr>
          <w:rFonts w:ascii="Calibri" w:hAnsi="Calibri"/>
          <w:b/>
          <w:i w:val="0"/>
          <w:color w:val="1E2761"/>
          <w:sz w:val="36"/>
        </w:rPr>
        <w:t>About 360 DS</w:t>
      </w:r>
    </w:p>
    <w:p>
      <w:pPr>
        <w:spacing w:before="0" w:after="120" w:line="300" w:lineRule="auto"/>
        <w:jc w:val="left"/>
      </w:pPr>
      <w:r>
        <w:rPr>
          <w:rFonts w:ascii="Calibri" w:hAnsi="Calibri"/>
          <w:b w:val="0"/>
          <w:i w:val="0"/>
          <w:color w:val="212B36"/>
          <w:sz w:val="22"/>
        </w:rPr>
        <w:t>360 DS is an Australian advisory and delivery firm specialising in senior project and program management, delivery governance, assurance, and AI workflow implementation. We help organisations move complex initiatives from uncertainty to controlled delivery, and operationalise emerging capability such as Anthropic Claude into governed, high-performance ways of working.</w:t>
      </w:r>
    </w:p>
    <w:p>
      <w:pPr>
        <w:spacing w:before="0" w:after="120" w:line="300" w:lineRule="auto"/>
        <w:jc w:val="left"/>
      </w:pPr>
      <w:r>
        <w:rPr>
          <w:rFonts w:ascii="Calibri" w:hAnsi="Calibri"/>
          <w:b w:val="0"/>
          <w:i w:val="0"/>
          <w:color w:val="212B36"/>
          <w:sz w:val="22"/>
        </w:rPr>
        <w:t>We bring executive-level oversight together with hands-on delivery discipline, and work across the full lifecycle, from initiation and recovery through procurement, implementation, cutover, and operational transition.</w:t>
      </w:r>
    </w:p>
    <w:tbl>
      <w:tblPr>
        <w:tblW w:type="auto" w:w="0"/>
        <w:jc w:val="center"/>
        <w:tblLayout w:type="fixed"/>
        <w:tblLook w:firstColumn="1" w:firstRow="1" w:lastColumn="0" w:lastRow="0" w:noHBand="0" w:noVBand="1" w:val="04A0"/>
      </w:tblPr>
      <w:tblGrid>
        <w:gridCol w:w="9638"/>
      </w:tblGrid>
      <w:tr>
        <w:tc>
          <w:tcPr>
            <w:tcW w:type="dxa" w:w="9638"/>
            <w:tcBorders>
              <w:top w:val="single" w:sz="6" w:space="0" w:color="1E2761"/>
              <w:start w:val="single" w:sz="6" w:space="0" w:color="1E2761"/>
              <w:bottom w:val="single" w:sz="6" w:space="0" w:color="1E2761"/>
              <w:end w:val="single" w:sz="6" w:space="0" w:color="1E2761"/>
            </w:tcBorders>
            <w:shd w:val="clear" w:color="auto" w:fill="F2F4F8"/>
            <w:tcMar>
              <w:top w:w="180" w:type="dxa"/>
              <w:start w:w="220" w:type="dxa"/>
              <w:bottom w:w="180" w:type="dxa"/>
              <w:end w:w="220" w:type="dxa"/>
            </w:tcMar>
          </w:tcPr>
          <w:p>
            <w:pPr>
              <w:spacing w:after="80"/>
            </w:pPr>
            <w:r>
              <w:rPr>
                <w:rFonts w:ascii="Calibri" w:hAnsi="Calibri"/>
                <w:b/>
                <w:i w:val="0"/>
                <w:color w:val="1E2761"/>
                <w:sz w:val="24"/>
              </w:rPr>
              <w:t>Our two core capability offers</w:t>
            </w:r>
          </w:p>
          <w:p>
            <w:pPr>
              <w:spacing w:after="0" w:line="300" w:lineRule="auto"/>
            </w:pPr>
            <w:r>
              <w:rPr>
                <w:rFonts w:ascii="Calibri" w:hAnsi="Calibri"/>
                <w:b w:val="0"/>
                <w:i w:val="0"/>
                <w:color w:val="212B36"/>
                <w:sz w:val="22"/>
              </w:rPr>
              <w:t>Project and Program Management for complex business and technology transformation, and Claude Cowork for governed AI workflow implementation. Both are underpinned by Governance as a Service so that delivery is structured, accountable, and audit ready from day one.</w:t>
            </w:r>
          </w:p>
        </w:tc>
      </w:tr>
    </w:tbl>
    <w:p>
      <w:pPr>
        <w:spacing w:after="120"/>
      </w:pPr>
    </w:p>
    <w:p>
      <w:r>
        <w:br w:type="page"/>
      </w:r>
    </w:p>
    <w:p>
      <w:pPr>
        <w:keepNext/>
        <w:pBdr>
          <w:bottom w:val="single" w:sz="8" w:space="6" w:color="1E2761"/>
        </w:pBdr>
        <w:spacing w:before="360" w:after="160"/>
      </w:pPr>
      <w:r>
        <w:rPr>
          <w:rFonts w:ascii="Calibri" w:hAnsi="Calibri"/>
          <w:b/>
          <w:i w:val="0"/>
          <w:color w:val="1E2761"/>
          <w:sz w:val="36"/>
        </w:rPr>
        <w:t>A. Project and Program Management</w:t>
      </w:r>
    </w:p>
    <w:p>
      <w:pPr>
        <w:keepNext/>
        <w:spacing w:before="280" w:after="120"/>
      </w:pPr>
      <w:r>
        <w:rPr>
          <w:rFonts w:ascii="Calibri" w:hAnsi="Calibri"/>
          <w:b/>
          <w:i w:val="0"/>
          <w:color w:val="1E2761"/>
          <w:sz w:val="28"/>
        </w:rPr>
        <w:t>Overview</w:t>
      </w:r>
    </w:p>
    <w:p>
      <w:pPr>
        <w:spacing w:before="0" w:after="120" w:line="300" w:lineRule="auto"/>
        <w:jc w:val="left"/>
      </w:pPr>
      <w:r>
        <w:rPr>
          <w:rFonts w:ascii="Calibri" w:hAnsi="Calibri"/>
          <w:b w:val="0"/>
          <w:i w:val="0"/>
          <w:color w:val="212B36"/>
          <w:sz w:val="22"/>
        </w:rPr>
        <w:t>360 DS provides senior project and program management services for complex business and technology transformation across government, regulated industries, and enterprise environments. We help organisations move critical initiatives from uncertainty to controlled delivery through strong governance, structured execution, and practical stakeholder leadership.</w:t>
      </w:r>
    </w:p>
    <w:p>
      <w:pPr>
        <w:spacing w:before="0" w:after="120" w:line="300" w:lineRule="auto"/>
        <w:jc w:val="left"/>
      </w:pPr>
      <w:r>
        <w:rPr>
          <w:rFonts w:ascii="Calibri" w:hAnsi="Calibri"/>
          <w:b w:val="0"/>
          <w:i w:val="0"/>
          <w:color w:val="212B36"/>
          <w:sz w:val="22"/>
        </w:rPr>
        <w:t>Our approach combines executive-level oversight with hands-on delivery discipline. We work across the full lifecycle, from initiation and recovery through procurement, implementation, cutover, and operational transition.</w:t>
      </w:r>
    </w:p>
    <w:p>
      <w:pPr>
        <w:keepNext/>
        <w:spacing w:before="280" w:after="120"/>
      </w:pPr>
      <w:r>
        <w:rPr>
          <w:rFonts w:ascii="Calibri" w:hAnsi="Calibri"/>
          <w:b/>
          <w:i w:val="0"/>
          <w:color w:val="1E2761"/>
          <w:sz w:val="28"/>
        </w:rPr>
        <w:t>What We Deliver</w:t>
      </w:r>
    </w:p>
    <w:p>
      <w:pPr>
        <w:spacing w:before="0" w:after="120" w:line="300" w:lineRule="auto"/>
        <w:jc w:val="left"/>
      </w:pPr>
      <w:r>
        <w:rPr>
          <w:rFonts w:ascii="Calibri" w:hAnsi="Calibri"/>
          <w:b w:val="0"/>
          <w:i w:val="0"/>
          <w:color w:val="212B36"/>
          <w:sz w:val="22"/>
        </w:rPr>
        <w:t>We support clients with:</w:t>
      </w:r>
    </w:p>
    <w:p>
      <w:pPr>
        <w:pStyle w:val="ListBullet"/>
        <w:spacing w:before="0" w:after="60" w:line="288" w:lineRule="auto"/>
      </w:pPr>
      <w:r>
        <w:rPr>
          <w:rFonts w:ascii="Calibri" w:hAnsi="Calibri"/>
          <w:b w:val="0"/>
          <w:i w:val="0"/>
          <w:color w:val="212B36"/>
          <w:sz w:val="22"/>
        </w:rPr>
        <w:t>Program and project leadership for complex ICT and business transformation initiatives</w:t>
      </w:r>
    </w:p>
    <w:p>
      <w:pPr>
        <w:pStyle w:val="ListBullet"/>
        <w:spacing w:before="0" w:after="60" w:line="288" w:lineRule="auto"/>
      </w:pPr>
      <w:r>
        <w:rPr>
          <w:rFonts w:ascii="Calibri" w:hAnsi="Calibri"/>
          <w:b w:val="0"/>
          <w:i w:val="0"/>
          <w:color w:val="212B36"/>
          <w:sz w:val="22"/>
        </w:rPr>
        <w:t>Delivery recovery for at-risk or underperforming projects</w:t>
      </w:r>
    </w:p>
    <w:p>
      <w:pPr>
        <w:pStyle w:val="ListBullet"/>
        <w:spacing w:before="0" w:after="60" w:line="288" w:lineRule="auto"/>
      </w:pPr>
      <w:r>
        <w:rPr>
          <w:rFonts w:ascii="Calibri" w:hAnsi="Calibri"/>
          <w:b w:val="0"/>
          <w:i w:val="0"/>
          <w:color w:val="212B36"/>
          <w:sz w:val="22"/>
        </w:rPr>
        <w:t>Governance setup, stage-gate control, and executive reporting</w:t>
      </w:r>
    </w:p>
    <w:p>
      <w:pPr>
        <w:pStyle w:val="ListBullet"/>
        <w:spacing w:before="0" w:after="60" w:line="288" w:lineRule="auto"/>
      </w:pPr>
      <w:r>
        <w:rPr>
          <w:rFonts w:ascii="Calibri" w:hAnsi="Calibri"/>
          <w:b w:val="0"/>
          <w:i w:val="0"/>
          <w:color w:val="212B36"/>
          <w:sz w:val="22"/>
        </w:rPr>
        <w:t>Integrated planning across business, technology, vendors, and operational teams</w:t>
      </w:r>
    </w:p>
    <w:p>
      <w:pPr>
        <w:pStyle w:val="ListBullet"/>
        <w:spacing w:before="0" w:after="60" w:line="288" w:lineRule="auto"/>
      </w:pPr>
      <w:r>
        <w:rPr>
          <w:rFonts w:ascii="Calibri" w:hAnsi="Calibri"/>
          <w:b w:val="0"/>
          <w:i w:val="0"/>
          <w:color w:val="212B36"/>
          <w:sz w:val="22"/>
        </w:rPr>
        <w:t>Procurement and market approach support, including RFI, RFQ, evaluation, and vendor engagement</w:t>
      </w:r>
    </w:p>
    <w:p>
      <w:pPr>
        <w:pStyle w:val="ListBullet"/>
        <w:spacing w:before="0" w:after="60" w:line="288" w:lineRule="auto"/>
      </w:pPr>
      <w:r>
        <w:rPr>
          <w:rFonts w:ascii="Calibri" w:hAnsi="Calibri"/>
          <w:b w:val="0"/>
          <w:i w:val="0"/>
          <w:color w:val="212B36"/>
          <w:sz w:val="22"/>
        </w:rPr>
        <w:t>Risk, issue, dependency, decision, and change management</w:t>
      </w:r>
    </w:p>
    <w:p>
      <w:pPr>
        <w:pStyle w:val="ListBullet"/>
        <w:spacing w:before="0" w:after="60" w:line="288" w:lineRule="auto"/>
      </w:pPr>
      <w:r>
        <w:rPr>
          <w:rFonts w:ascii="Calibri" w:hAnsi="Calibri"/>
          <w:b w:val="0"/>
          <w:i w:val="0"/>
          <w:color w:val="212B36"/>
          <w:sz w:val="22"/>
        </w:rPr>
        <w:t>Business readiness, cutover planning, hypercare, and transition to BAU</w:t>
      </w:r>
    </w:p>
    <w:p>
      <w:pPr>
        <w:pStyle w:val="ListBullet"/>
        <w:spacing w:before="0" w:after="60" w:line="288" w:lineRule="auto"/>
      </w:pPr>
      <w:r>
        <w:rPr>
          <w:rFonts w:ascii="Calibri" w:hAnsi="Calibri"/>
          <w:b w:val="0"/>
          <w:i w:val="0"/>
          <w:color w:val="212B36"/>
          <w:sz w:val="22"/>
        </w:rPr>
        <w:t>Vendor and commercial management across multi-party delivery environments</w:t>
      </w:r>
    </w:p>
    <w:p>
      <w:pPr>
        <w:pStyle w:val="ListBullet"/>
        <w:spacing w:before="0" w:after="60" w:line="288" w:lineRule="auto"/>
      </w:pPr>
      <w:r>
        <w:rPr>
          <w:rFonts w:ascii="Calibri" w:hAnsi="Calibri"/>
          <w:b w:val="0"/>
          <w:i w:val="0"/>
          <w:color w:val="212B36"/>
          <w:sz w:val="22"/>
        </w:rPr>
        <w:t>Delivery assurance across ERP, enterprise platforms, integrations, cybersecurity, cloud, digital services, and AI-enabled initiatives</w:t>
      </w:r>
    </w:p>
    <w:p>
      <w:pPr>
        <w:keepNext/>
        <w:spacing w:before="280" w:after="120"/>
      </w:pPr>
      <w:r>
        <w:rPr>
          <w:rFonts w:ascii="Calibri" w:hAnsi="Calibri"/>
          <w:b/>
          <w:i w:val="0"/>
          <w:color w:val="1E2761"/>
          <w:sz w:val="28"/>
        </w:rPr>
        <w:t>Governance as a Service</w:t>
      </w:r>
    </w:p>
    <w:p>
      <w:pPr>
        <w:spacing w:before="0" w:after="120" w:line="300" w:lineRule="auto"/>
        <w:jc w:val="left"/>
      </w:pPr>
      <w:r>
        <w:rPr>
          <w:rFonts w:ascii="Calibri" w:hAnsi="Calibri"/>
          <w:b w:val="0"/>
          <w:i w:val="0"/>
          <w:color w:val="212B36"/>
          <w:sz w:val="22"/>
        </w:rPr>
        <w:t>A core part of our offer is Governance as a Service. This gives clients a structured governance layer that sits across project, program, vendor, and assurance activities to improve control, decision quality, and delivery confidence.</w:t>
      </w:r>
    </w:p>
    <w:p>
      <w:pPr>
        <w:spacing w:before="0" w:after="120" w:line="300" w:lineRule="auto"/>
        <w:jc w:val="left"/>
      </w:pPr>
      <w:r>
        <w:rPr>
          <w:rFonts w:ascii="Calibri" w:hAnsi="Calibri"/>
          <w:b w:val="0"/>
          <w:i w:val="0"/>
          <w:color w:val="212B36"/>
          <w:sz w:val="22"/>
        </w:rPr>
        <w:t>This service can include:</w:t>
      </w:r>
    </w:p>
    <w:p>
      <w:pPr>
        <w:pStyle w:val="ListBullet"/>
        <w:spacing w:before="0" w:after="60" w:line="288" w:lineRule="auto"/>
      </w:pPr>
      <w:r>
        <w:rPr>
          <w:rFonts w:ascii="Calibri" w:hAnsi="Calibri"/>
          <w:b w:val="0"/>
          <w:i w:val="0"/>
          <w:color w:val="212B36"/>
          <w:sz w:val="22"/>
        </w:rPr>
        <w:t>governance framework design and uplift</w:t>
      </w:r>
    </w:p>
    <w:p>
      <w:pPr>
        <w:pStyle w:val="ListBullet"/>
        <w:spacing w:before="0" w:after="60" w:line="288" w:lineRule="auto"/>
      </w:pPr>
      <w:r>
        <w:rPr>
          <w:rFonts w:ascii="Calibri" w:hAnsi="Calibri"/>
          <w:b w:val="0"/>
          <w:i w:val="0"/>
          <w:color w:val="212B36"/>
          <w:sz w:val="22"/>
        </w:rPr>
        <w:t>steering committee, executive, and working group cadence design</w:t>
      </w:r>
    </w:p>
    <w:p>
      <w:pPr>
        <w:pStyle w:val="ListBullet"/>
        <w:spacing w:before="0" w:after="60" w:line="288" w:lineRule="auto"/>
      </w:pPr>
      <w:r>
        <w:rPr>
          <w:rFonts w:ascii="Calibri" w:hAnsi="Calibri"/>
          <w:b w:val="0"/>
          <w:i w:val="0"/>
          <w:color w:val="212B36"/>
          <w:sz w:val="22"/>
        </w:rPr>
        <w:t>project controls including RAID, dependency, action, and decision logs</w:t>
      </w:r>
    </w:p>
    <w:p>
      <w:pPr>
        <w:pStyle w:val="ListBullet"/>
        <w:spacing w:before="0" w:after="60" w:line="288" w:lineRule="auto"/>
      </w:pPr>
      <w:r>
        <w:rPr>
          <w:rFonts w:ascii="Calibri" w:hAnsi="Calibri"/>
          <w:b w:val="0"/>
          <w:i w:val="0"/>
          <w:color w:val="212B36"/>
          <w:sz w:val="22"/>
        </w:rPr>
        <w:t>stage-gate and readiness assessments</w:t>
      </w:r>
    </w:p>
    <w:p>
      <w:pPr>
        <w:pStyle w:val="ListBullet"/>
        <w:spacing w:before="0" w:after="60" w:line="288" w:lineRule="auto"/>
      </w:pPr>
      <w:r>
        <w:rPr>
          <w:rFonts w:ascii="Calibri" w:hAnsi="Calibri"/>
          <w:b w:val="0"/>
          <w:i w:val="0"/>
          <w:color w:val="212B36"/>
          <w:sz w:val="22"/>
        </w:rPr>
        <w:t>assurance checkpoints and independent delivery health reviews</w:t>
      </w:r>
    </w:p>
    <w:p>
      <w:pPr>
        <w:pStyle w:val="ListBullet"/>
        <w:spacing w:before="0" w:after="60" w:line="288" w:lineRule="auto"/>
      </w:pPr>
      <w:r>
        <w:rPr>
          <w:rFonts w:ascii="Calibri" w:hAnsi="Calibri"/>
          <w:b w:val="0"/>
          <w:i w:val="0"/>
          <w:color w:val="212B36"/>
          <w:sz w:val="22"/>
        </w:rPr>
        <w:t>procurement governance, probity support, and evaluation discipline</w:t>
      </w:r>
    </w:p>
    <w:p>
      <w:pPr>
        <w:pStyle w:val="ListBullet"/>
        <w:spacing w:before="0" w:after="60" w:line="288" w:lineRule="auto"/>
      </w:pPr>
      <w:r>
        <w:rPr>
          <w:rFonts w:ascii="Calibri" w:hAnsi="Calibri"/>
          <w:b w:val="0"/>
          <w:i w:val="0"/>
          <w:color w:val="212B36"/>
          <w:sz w:val="22"/>
        </w:rPr>
        <w:t>risk and control alignment across business, technology, security, and operational teams</w:t>
      </w:r>
    </w:p>
    <w:p>
      <w:pPr>
        <w:pStyle w:val="ListBullet"/>
        <w:spacing w:before="0" w:after="60" w:line="288" w:lineRule="auto"/>
      </w:pPr>
      <w:r>
        <w:rPr>
          <w:rFonts w:ascii="Calibri" w:hAnsi="Calibri"/>
          <w:b w:val="0"/>
          <w:i w:val="0"/>
          <w:color w:val="212B36"/>
          <w:sz w:val="22"/>
        </w:rPr>
        <w:t>audit-ready reporting, traceability, and evidence management</w:t>
      </w:r>
    </w:p>
    <w:p>
      <w:pPr>
        <w:pStyle w:val="ListBullet"/>
        <w:spacing w:before="0" w:after="60" w:line="288" w:lineRule="auto"/>
      </w:pPr>
      <w:r>
        <w:rPr>
          <w:rFonts w:ascii="Calibri" w:hAnsi="Calibri"/>
          <w:b w:val="0"/>
          <w:i w:val="0"/>
          <w:color w:val="212B36"/>
          <w:sz w:val="22"/>
        </w:rPr>
        <w:t>delivery governance for AI, data, digital, and cloud-enabled programs</w:t>
      </w:r>
    </w:p>
    <w:p>
      <w:pPr>
        <w:spacing w:before="0" w:after="120" w:line="300" w:lineRule="auto"/>
        <w:jc w:val="left"/>
      </w:pPr>
      <w:r>
        <w:rPr>
          <w:rFonts w:ascii="Calibri" w:hAnsi="Calibri"/>
          <w:b w:val="0"/>
          <w:i w:val="0"/>
          <w:color w:val="212B36"/>
          <w:sz w:val="22"/>
        </w:rPr>
        <w:t>This is especially valuable for initiatives operating in regulated or high-accountability environments, including programs that need to align delivery controls with privacy, security, accountability, transparency, and human oversight obligations from the outset rather than as a late compliance check. Relevant Australian reference points include the OAIC AI privacy guidance, the Australian Government AI accountability and impact assessment approach, APRA CPS 234 where applicable, and NSW AI governance settings for government and government-adjacent programs.</w:t>
      </w:r>
    </w:p>
    <w:p>
      <w:pPr>
        <w:keepNext/>
        <w:spacing w:before="280" w:after="120"/>
      </w:pPr>
      <w:r>
        <w:rPr>
          <w:rFonts w:ascii="Calibri" w:hAnsi="Calibri"/>
          <w:b/>
          <w:i w:val="0"/>
          <w:color w:val="1E2761"/>
          <w:sz w:val="28"/>
        </w:rPr>
        <w:t>Sector Experience</w:t>
      </w:r>
    </w:p>
    <w:p>
      <w:pPr>
        <w:spacing w:before="0" w:after="120" w:line="300" w:lineRule="auto"/>
        <w:jc w:val="left"/>
      </w:pPr>
      <w:r>
        <w:rPr>
          <w:rFonts w:ascii="Calibri" w:hAnsi="Calibri"/>
          <w:b w:val="0"/>
          <w:i w:val="0"/>
          <w:color w:val="212B36"/>
          <w:sz w:val="22"/>
        </w:rPr>
        <w:t>We bring experience across:</w:t>
      </w:r>
    </w:p>
    <w:p>
      <w:pPr>
        <w:pStyle w:val="ListBullet"/>
        <w:spacing w:before="0" w:after="60" w:line="288" w:lineRule="auto"/>
      </w:pPr>
      <w:r>
        <w:rPr>
          <w:rFonts w:ascii="Calibri" w:hAnsi="Calibri"/>
          <w:b w:val="0"/>
          <w:i w:val="0"/>
          <w:color w:val="212B36"/>
          <w:sz w:val="22"/>
        </w:rPr>
        <w:t>Federal and state government</w:t>
      </w:r>
    </w:p>
    <w:p>
      <w:pPr>
        <w:pStyle w:val="ListBullet"/>
        <w:spacing w:before="0" w:after="60" w:line="288" w:lineRule="auto"/>
      </w:pPr>
      <w:r>
        <w:rPr>
          <w:rFonts w:ascii="Calibri" w:hAnsi="Calibri"/>
          <w:b w:val="0"/>
          <w:i w:val="0"/>
          <w:color w:val="212B36"/>
          <w:sz w:val="22"/>
        </w:rPr>
        <w:t>Financial services</w:t>
      </w:r>
    </w:p>
    <w:p>
      <w:pPr>
        <w:pStyle w:val="ListBullet"/>
        <w:spacing w:before="0" w:after="60" w:line="288" w:lineRule="auto"/>
      </w:pPr>
      <w:r>
        <w:rPr>
          <w:rFonts w:ascii="Calibri" w:hAnsi="Calibri"/>
          <w:b w:val="0"/>
          <w:i w:val="0"/>
          <w:color w:val="212B36"/>
          <w:sz w:val="22"/>
        </w:rPr>
        <w:t>Education and higher education</w:t>
      </w:r>
    </w:p>
    <w:p>
      <w:pPr>
        <w:pStyle w:val="ListBullet"/>
        <w:spacing w:before="0" w:after="60" w:line="288" w:lineRule="auto"/>
      </w:pPr>
      <w:r>
        <w:rPr>
          <w:rFonts w:ascii="Calibri" w:hAnsi="Calibri"/>
          <w:b w:val="0"/>
          <w:i w:val="0"/>
          <w:color w:val="212B36"/>
          <w:sz w:val="22"/>
        </w:rPr>
        <w:t>Healthcare</w:t>
      </w:r>
    </w:p>
    <w:p>
      <w:pPr>
        <w:pStyle w:val="ListBullet"/>
        <w:spacing w:before="0" w:after="60" w:line="288" w:lineRule="auto"/>
      </w:pPr>
      <w:r>
        <w:rPr>
          <w:rFonts w:ascii="Calibri" w:hAnsi="Calibri"/>
          <w:b w:val="0"/>
          <w:i w:val="0"/>
          <w:color w:val="212B36"/>
          <w:sz w:val="22"/>
        </w:rPr>
        <w:t>Transport and infrastructure</w:t>
      </w:r>
    </w:p>
    <w:p>
      <w:pPr>
        <w:pStyle w:val="ListBullet"/>
        <w:spacing w:before="0" w:after="60" w:line="288" w:lineRule="auto"/>
      </w:pPr>
      <w:r>
        <w:rPr>
          <w:rFonts w:ascii="Calibri" w:hAnsi="Calibri"/>
          <w:b w:val="0"/>
          <w:i w:val="0"/>
          <w:color w:val="212B36"/>
          <w:sz w:val="22"/>
        </w:rPr>
        <w:t>Telecommunications</w:t>
      </w:r>
    </w:p>
    <w:p>
      <w:pPr>
        <w:pStyle w:val="ListBullet"/>
        <w:spacing w:before="0" w:after="60" w:line="288" w:lineRule="auto"/>
      </w:pPr>
      <w:r>
        <w:rPr>
          <w:rFonts w:ascii="Calibri" w:hAnsi="Calibri"/>
          <w:b w:val="0"/>
          <w:i w:val="0"/>
          <w:color w:val="212B36"/>
          <w:sz w:val="22"/>
        </w:rPr>
        <w:t>Hospitality and customer service environments</w:t>
      </w:r>
    </w:p>
    <w:p>
      <w:pPr>
        <w:keepNext/>
        <w:spacing w:before="280" w:after="120"/>
      </w:pPr>
      <w:r>
        <w:rPr>
          <w:rFonts w:ascii="Calibri" w:hAnsi="Calibri"/>
          <w:b/>
          <w:i w:val="0"/>
          <w:color w:val="1E2761"/>
          <w:sz w:val="28"/>
        </w:rPr>
        <w:t>Delivery Strengths</w:t>
      </w:r>
    </w:p>
    <w:p>
      <w:pPr>
        <w:spacing w:before="0" w:after="120" w:line="300" w:lineRule="auto"/>
        <w:jc w:val="left"/>
      </w:pPr>
      <w:r>
        <w:rPr>
          <w:rFonts w:ascii="Calibri" w:hAnsi="Calibri"/>
          <w:b w:val="0"/>
          <w:i w:val="0"/>
          <w:color w:val="212B36"/>
          <w:sz w:val="22"/>
        </w:rPr>
        <w:t>Our project and program management capability is particularly strong in environments that require:</w:t>
      </w:r>
    </w:p>
    <w:p>
      <w:pPr>
        <w:pStyle w:val="ListBullet"/>
        <w:spacing w:before="0" w:after="60" w:line="288" w:lineRule="auto"/>
      </w:pPr>
      <w:r>
        <w:rPr>
          <w:rFonts w:ascii="Calibri" w:hAnsi="Calibri"/>
          <w:b w:val="0"/>
          <w:i w:val="0"/>
          <w:color w:val="212B36"/>
          <w:sz w:val="22"/>
        </w:rPr>
        <w:t>disciplined governance and accountability</w:t>
      </w:r>
    </w:p>
    <w:p>
      <w:pPr>
        <w:pStyle w:val="ListBullet"/>
        <w:spacing w:before="0" w:after="60" w:line="288" w:lineRule="auto"/>
      </w:pPr>
      <w:r>
        <w:rPr>
          <w:rFonts w:ascii="Calibri" w:hAnsi="Calibri"/>
          <w:b w:val="0"/>
          <w:i w:val="0"/>
          <w:color w:val="212B36"/>
          <w:sz w:val="22"/>
        </w:rPr>
        <w:t>executive stakeholder engagement</w:t>
      </w:r>
    </w:p>
    <w:p>
      <w:pPr>
        <w:pStyle w:val="ListBullet"/>
        <w:spacing w:before="0" w:after="60" w:line="288" w:lineRule="auto"/>
      </w:pPr>
      <w:r>
        <w:rPr>
          <w:rFonts w:ascii="Calibri" w:hAnsi="Calibri"/>
          <w:b w:val="0"/>
          <w:i w:val="0"/>
          <w:color w:val="212B36"/>
          <w:sz w:val="22"/>
        </w:rPr>
        <w:t>multi-vendor coordination</w:t>
      </w:r>
    </w:p>
    <w:p>
      <w:pPr>
        <w:pStyle w:val="ListBullet"/>
        <w:spacing w:before="0" w:after="60" w:line="288" w:lineRule="auto"/>
      </w:pPr>
      <w:r>
        <w:rPr>
          <w:rFonts w:ascii="Calibri" w:hAnsi="Calibri"/>
          <w:b w:val="0"/>
          <w:i w:val="0"/>
          <w:color w:val="212B36"/>
          <w:sz w:val="22"/>
        </w:rPr>
        <w:t>complex system integration</w:t>
      </w:r>
    </w:p>
    <w:p>
      <w:pPr>
        <w:pStyle w:val="ListBullet"/>
        <w:spacing w:before="0" w:after="60" w:line="288" w:lineRule="auto"/>
      </w:pPr>
      <w:r>
        <w:rPr>
          <w:rFonts w:ascii="Calibri" w:hAnsi="Calibri"/>
          <w:b w:val="0"/>
          <w:i w:val="0"/>
          <w:color w:val="212B36"/>
          <w:sz w:val="22"/>
        </w:rPr>
        <w:t>regulated or high-assurance delivery settings</w:t>
      </w:r>
    </w:p>
    <w:p>
      <w:pPr>
        <w:pStyle w:val="ListBullet"/>
        <w:spacing w:before="0" w:after="60" w:line="288" w:lineRule="auto"/>
      </w:pPr>
      <w:r>
        <w:rPr>
          <w:rFonts w:ascii="Calibri" w:hAnsi="Calibri"/>
          <w:b w:val="0"/>
          <w:i w:val="0"/>
          <w:color w:val="212B36"/>
          <w:sz w:val="22"/>
        </w:rPr>
        <w:t>structured decision-making and risk control</w:t>
      </w:r>
    </w:p>
    <w:p>
      <w:pPr>
        <w:pStyle w:val="ListBullet"/>
        <w:spacing w:before="0" w:after="60" w:line="288" w:lineRule="auto"/>
      </w:pPr>
      <w:r>
        <w:rPr>
          <w:rFonts w:ascii="Calibri" w:hAnsi="Calibri"/>
          <w:b w:val="0"/>
          <w:i w:val="0"/>
          <w:color w:val="212B36"/>
          <w:sz w:val="22"/>
        </w:rPr>
        <w:t>practical recovery of delivery confidence</w:t>
      </w:r>
    </w:p>
    <w:p>
      <w:pPr>
        <w:keepNext/>
        <w:spacing w:before="280" w:after="120"/>
      </w:pPr>
      <w:r>
        <w:rPr>
          <w:rFonts w:ascii="Calibri" w:hAnsi="Calibri"/>
          <w:b/>
          <w:i w:val="0"/>
          <w:color w:val="1E2761"/>
          <w:sz w:val="28"/>
        </w:rPr>
        <w:t>Example Capability in Action</w:t>
      </w:r>
    </w:p>
    <w:p>
      <w:pPr>
        <w:spacing w:before="0" w:after="120" w:line="300" w:lineRule="auto"/>
        <w:jc w:val="left"/>
      </w:pPr>
      <w:r>
        <w:rPr>
          <w:rFonts w:ascii="Calibri" w:hAnsi="Calibri"/>
          <w:b w:val="0"/>
          <w:i w:val="0"/>
          <w:color w:val="212B36"/>
          <w:sz w:val="22"/>
        </w:rPr>
        <w:t>Our leadership experience includes:</w:t>
      </w:r>
    </w:p>
    <w:p>
      <w:pPr>
        <w:pStyle w:val="ListBullet"/>
        <w:spacing w:before="0" w:after="60" w:line="288" w:lineRule="auto"/>
      </w:pPr>
      <w:r>
        <w:rPr>
          <w:rFonts w:ascii="Calibri" w:hAnsi="Calibri"/>
          <w:b w:val="0"/>
          <w:i w:val="0"/>
          <w:color w:val="212B36"/>
          <w:sz w:val="22"/>
        </w:rPr>
        <w:t>stabilising inherited business transformation initiatives and moving them from red to green through stronger governance, integrated planning, tighter vendor control, and disciplined execution</w:t>
      </w:r>
    </w:p>
    <w:p>
      <w:pPr>
        <w:pStyle w:val="ListBullet"/>
        <w:spacing w:before="0" w:after="60" w:line="288" w:lineRule="auto"/>
      </w:pPr>
      <w:r>
        <w:rPr>
          <w:rFonts w:ascii="Calibri" w:hAnsi="Calibri"/>
          <w:b w:val="0"/>
          <w:i w:val="0"/>
          <w:color w:val="212B36"/>
          <w:sz w:val="22"/>
        </w:rPr>
        <w:t>leading enterprise platform and integration programs involving finance, accommodation, self-service, identity, messaging, and reporting ecosystems</w:t>
      </w:r>
    </w:p>
    <w:p>
      <w:pPr>
        <w:pStyle w:val="ListBullet"/>
        <w:spacing w:before="0" w:after="60" w:line="288" w:lineRule="auto"/>
      </w:pPr>
      <w:r>
        <w:rPr>
          <w:rFonts w:ascii="Calibri" w:hAnsi="Calibri"/>
          <w:b w:val="0"/>
          <w:i w:val="0"/>
          <w:color w:val="212B36"/>
          <w:sz w:val="22"/>
        </w:rPr>
        <w:t>managing procurement-led transformation initiatives including structured vendor evaluation, evidence-based scoring, risk commentary, and executive decision support</w:t>
      </w:r>
    </w:p>
    <w:p>
      <w:pPr>
        <w:pStyle w:val="ListBullet"/>
        <w:spacing w:before="0" w:after="60" w:line="288" w:lineRule="auto"/>
      </w:pPr>
      <w:r>
        <w:rPr>
          <w:rFonts w:ascii="Calibri" w:hAnsi="Calibri"/>
          <w:b w:val="0"/>
          <w:i w:val="0"/>
          <w:color w:val="212B36"/>
          <w:sz w:val="22"/>
        </w:rPr>
        <w:t>establishing release and environment governance across development, test, UAT, training, and production settings</w:t>
      </w:r>
    </w:p>
    <w:p>
      <w:pPr>
        <w:pStyle w:val="ListBullet"/>
        <w:spacing w:before="0" w:after="60" w:line="288" w:lineRule="auto"/>
      </w:pPr>
      <w:r>
        <w:rPr>
          <w:rFonts w:ascii="Calibri" w:hAnsi="Calibri"/>
          <w:b w:val="0"/>
          <w:i w:val="0"/>
          <w:color w:val="212B36"/>
          <w:sz w:val="22"/>
        </w:rPr>
        <w:t>coordinating business readiness, cutover rehearsal, issue triage, and hypercare in operationally sensitive environments</w:t>
      </w:r>
    </w:p>
    <w:p>
      <w:pPr>
        <w:keepNext/>
        <w:spacing w:before="280" w:after="120"/>
      </w:pPr>
      <w:r>
        <w:rPr>
          <w:rFonts w:ascii="Calibri" w:hAnsi="Calibri"/>
          <w:b/>
          <w:i w:val="0"/>
          <w:color w:val="1E2761"/>
          <w:sz w:val="28"/>
        </w:rPr>
        <w:t>Why 360 DS</w:t>
      </w:r>
    </w:p>
    <w:p>
      <w:pPr>
        <w:spacing w:before="0" w:after="120" w:line="300" w:lineRule="auto"/>
        <w:jc w:val="left"/>
      </w:pPr>
      <w:r>
        <w:rPr>
          <w:rFonts w:ascii="Calibri" w:hAnsi="Calibri"/>
          <w:b w:val="0"/>
          <w:i w:val="0"/>
          <w:color w:val="212B36"/>
          <w:sz w:val="22"/>
        </w:rPr>
        <w:t>Clients engage 360 DS because we offer:</w:t>
      </w:r>
    </w:p>
    <w:p>
      <w:pPr>
        <w:pStyle w:val="ListBullet"/>
        <w:spacing w:before="0" w:after="60" w:line="288" w:lineRule="auto"/>
      </w:pPr>
      <w:r>
        <w:rPr>
          <w:rFonts w:ascii="Calibri" w:hAnsi="Calibri"/>
          <w:b w:val="0"/>
          <w:i w:val="0"/>
          <w:color w:val="212B36"/>
          <w:sz w:val="22"/>
        </w:rPr>
        <w:t>senior leadership capability with hands-on delivery focus</w:t>
      </w:r>
    </w:p>
    <w:p>
      <w:pPr>
        <w:pStyle w:val="ListBullet"/>
        <w:spacing w:before="0" w:after="60" w:line="288" w:lineRule="auto"/>
      </w:pPr>
      <w:r>
        <w:rPr>
          <w:rFonts w:ascii="Calibri" w:hAnsi="Calibri"/>
          <w:b w:val="0"/>
          <w:i w:val="0"/>
          <w:color w:val="212B36"/>
          <w:sz w:val="22"/>
        </w:rPr>
        <w:t>strong governance without unnecessary bureaucracy</w:t>
      </w:r>
    </w:p>
    <w:p>
      <w:pPr>
        <w:pStyle w:val="ListBullet"/>
        <w:spacing w:before="0" w:after="60" w:line="288" w:lineRule="auto"/>
      </w:pPr>
      <w:r>
        <w:rPr>
          <w:rFonts w:ascii="Calibri" w:hAnsi="Calibri"/>
          <w:b w:val="0"/>
          <w:i w:val="0"/>
          <w:color w:val="212B36"/>
          <w:sz w:val="22"/>
        </w:rPr>
        <w:t>clear communication across executives, SMEs, vendors, and delivery teams</w:t>
      </w:r>
    </w:p>
    <w:p>
      <w:pPr>
        <w:pStyle w:val="ListBullet"/>
        <w:spacing w:before="0" w:after="60" w:line="288" w:lineRule="auto"/>
      </w:pPr>
      <w:r>
        <w:rPr>
          <w:rFonts w:ascii="Calibri" w:hAnsi="Calibri"/>
          <w:b w:val="0"/>
          <w:i w:val="0"/>
          <w:color w:val="212B36"/>
          <w:sz w:val="22"/>
        </w:rPr>
        <w:t>practical, structured recovery of complex initiatives</w:t>
      </w:r>
    </w:p>
    <w:p>
      <w:pPr>
        <w:pStyle w:val="ListBullet"/>
        <w:spacing w:before="0" w:after="60" w:line="288" w:lineRule="auto"/>
      </w:pPr>
      <w:r>
        <w:rPr>
          <w:rFonts w:ascii="Calibri" w:hAnsi="Calibri"/>
          <w:b w:val="0"/>
          <w:i w:val="0"/>
          <w:color w:val="212B36"/>
          <w:sz w:val="22"/>
        </w:rPr>
        <w:t>credibility across both business and technical workstreams</w:t>
      </w:r>
    </w:p>
    <w:p>
      <w:pPr>
        <w:pStyle w:val="ListBullet"/>
        <w:spacing w:before="0" w:after="60" w:line="288" w:lineRule="auto"/>
      </w:pPr>
      <w:r>
        <w:rPr>
          <w:rFonts w:ascii="Calibri" w:hAnsi="Calibri"/>
          <w:b w:val="0"/>
          <w:i w:val="0"/>
          <w:color w:val="212B36"/>
          <w:sz w:val="22"/>
        </w:rPr>
        <w:t>a calm, outcomes-focused approach in high-pressure environments</w:t>
      </w:r>
    </w:p>
    <w:p>
      <w:pPr>
        <w:keepNext/>
        <w:spacing w:before="280" w:after="120"/>
      </w:pPr>
      <w:r>
        <w:rPr>
          <w:rFonts w:ascii="Calibri" w:hAnsi="Calibri"/>
          <w:b/>
          <w:i w:val="0"/>
          <w:color w:val="1E2761"/>
          <w:sz w:val="28"/>
        </w:rPr>
        <w:t>Our Value Proposition</w:t>
      </w:r>
    </w:p>
    <w:tbl>
      <w:tblPr>
        <w:tblW w:type="auto" w:w="0"/>
        <w:jc w:val="center"/>
        <w:tblLayout w:type="fixed"/>
        <w:tblLook w:firstColumn="1" w:firstRow="1" w:lastColumn="0" w:lastRow="0" w:noHBand="0" w:noVBand="1" w:val="04A0"/>
      </w:tblPr>
      <w:tblGrid>
        <w:gridCol w:w="9638"/>
      </w:tblGrid>
      <w:tr>
        <w:tc>
          <w:tcPr>
            <w:tcW w:type="dxa" w:w="9638"/>
            <w:tcBorders>
              <w:top w:val="single" w:sz="6" w:space="0" w:color="1E2761"/>
              <w:start w:val="single" w:sz="6" w:space="0" w:color="1E2761"/>
              <w:bottom w:val="single" w:sz="6" w:space="0" w:color="1E2761"/>
              <w:end w:val="single" w:sz="6" w:space="0" w:color="1E2761"/>
            </w:tcBorders>
            <w:shd w:val="clear" w:color="auto" w:fill="F2F4F8"/>
            <w:tcMar>
              <w:top w:w="180" w:type="dxa"/>
              <w:start w:w="220" w:type="dxa"/>
              <w:bottom w:w="180" w:type="dxa"/>
              <w:end w:w="220" w:type="dxa"/>
            </w:tcMar>
          </w:tcPr>
          <w:p>
            <w:pPr>
              <w:spacing w:after="80"/>
            </w:pPr>
            <w:r>
              <w:rPr>
                <w:rFonts w:ascii="Calibri" w:hAnsi="Calibri"/>
                <w:b/>
                <w:i w:val="0"/>
                <w:color w:val="1E2761"/>
                <w:sz w:val="24"/>
              </w:rPr>
              <w:t>More than schedule management</w:t>
            </w:r>
          </w:p>
          <w:p>
            <w:pPr>
              <w:spacing w:after="0" w:line="300" w:lineRule="auto"/>
            </w:pPr>
            <w:r>
              <w:rPr>
                <w:rFonts w:ascii="Calibri" w:hAnsi="Calibri"/>
                <w:b w:val="0"/>
                <w:i w:val="0"/>
                <w:color w:val="212B36"/>
                <w:sz w:val="22"/>
              </w:rPr>
              <w:t>We bring structure, control, governance, and momentum to complex programs so organisations can make better decisions, reduce delivery risk, strengthen assurance, and achieve outcomes with confidence.</w:t>
            </w:r>
          </w:p>
        </w:tc>
      </w:tr>
    </w:tbl>
    <w:p>
      <w:pPr>
        <w:spacing w:after="120"/>
      </w:pPr>
    </w:p>
    <w:p>
      <w:r>
        <w:br w:type="page"/>
      </w:r>
    </w:p>
    <w:p>
      <w:pPr>
        <w:keepNext/>
        <w:pBdr>
          <w:bottom w:val="single" w:sz="8" w:space="6" w:color="1E2761"/>
        </w:pBdr>
        <w:spacing w:before="360" w:after="160"/>
      </w:pPr>
      <w:r>
        <w:rPr>
          <w:rFonts w:ascii="Calibri" w:hAnsi="Calibri"/>
          <w:b/>
          <w:i w:val="0"/>
          <w:color w:val="1E2761"/>
          <w:sz w:val="36"/>
        </w:rPr>
        <w:t>B. Claude Cowork</w:t>
      </w:r>
    </w:p>
    <w:p>
      <w:pPr>
        <w:keepNext/>
        <w:spacing w:before="280" w:after="120"/>
      </w:pPr>
      <w:r>
        <w:rPr>
          <w:rFonts w:ascii="Calibri" w:hAnsi="Calibri"/>
          <w:b/>
          <w:i w:val="0"/>
          <w:color w:val="1E2761"/>
          <w:sz w:val="28"/>
        </w:rPr>
        <w:t>Overview</w:t>
      </w:r>
    </w:p>
    <w:p>
      <w:pPr>
        <w:spacing w:before="0" w:after="120" w:line="300" w:lineRule="auto"/>
        <w:jc w:val="left"/>
      </w:pPr>
      <w:r>
        <w:rPr>
          <w:rFonts w:ascii="Calibri" w:hAnsi="Calibri"/>
          <w:b w:val="0"/>
          <w:i w:val="0"/>
          <w:color w:val="212B36"/>
          <w:sz w:val="22"/>
        </w:rPr>
        <w:t>Claude Cowork is the 360 DS service offering for implementing Anthropic Claude into real business workflows, moving organisations beyond ad hoc AI chat usage into structured, high-performance, and governed digital work environments.</w:t>
      </w:r>
    </w:p>
    <w:p>
      <w:pPr>
        <w:spacing w:before="0" w:after="120" w:line="300" w:lineRule="auto"/>
        <w:jc w:val="left"/>
      </w:pPr>
      <w:r>
        <w:rPr>
          <w:rFonts w:ascii="Calibri" w:hAnsi="Calibri"/>
          <w:b w:val="0"/>
          <w:i w:val="0"/>
          <w:color w:val="212B36"/>
          <w:sz w:val="22"/>
        </w:rPr>
        <w:t>We help NSW organisations operationalise Claude through Claude Code, Projects, and MCP, enabling teams to work faster, synthesise complex information, improve decision support, and embed AI into day-to-day delivery, governance, and operational routines.</w:t>
      </w:r>
    </w:p>
    <w:tbl>
      <w:tblPr>
        <w:tblW w:type="auto" w:w="0"/>
        <w:jc w:val="center"/>
        <w:tblLayout w:type="fixed"/>
        <w:tblLook w:firstColumn="1" w:firstRow="1" w:lastColumn="0" w:lastRow="0" w:noHBand="0" w:noVBand="1" w:val="04A0"/>
      </w:tblPr>
      <w:tblGrid>
        <w:gridCol w:w="9638"/>
      </w:tblGrid>
      <w:tr>
        <w:tc>
          <w:tcPr>
            <w:tcW w:type="dxa" w:w="9638"/>
            <w:tcBorders>
              <w:top w:val="single" w:sz="6" w:space="0" w:color="1E2761"/>
              <w:start w:val="single" w:sz="6" w:space="0" w:color="1E2761"/>
              <w:bottom w:val="single" w:sz="6" w:space="0" w:color="1E2761"/>
              <w:end w:val="single" w:sz="6" w:space="0" w:color="1E2761"/>
            </w:tcBorders>
            <w:shd w:val="clear" w:color="auto" w:fill="F2F4F8"/>
            <w:tcMar>
              <w:top w:w="180" w:type="dxa"/>
              <w:start w:w="220" w:type="dxa"/>
              <w:bottom w:w="180" w:type="dxa"/>
              <w:end w:w="220" w:type="dxa"/>
            </w:tcMar>
          </w:tcPr>
          <w:p>
            <w:pPr>
              <w:spacing w:after="80"/>
            </w:pPr>
            <w:r>
              <w:rPr>
                <w:rFonts w:ascii="Calibri" w:hAnsi="Calibri"/>
                <w:b/>
                <w:i w:val="0"/>
                <w:color w:val="1E2761"/>
                <w:sz w:val="24"/>
              </w:rPr>
              <w:t>Not a chatbot deployment</w:t>
            </w:r>
          </w:p>
          <w:p>
            <w:pPr>
              <w:spacing w:after="0" w:line="300" w:lineRule="auto"/>
            </w:pPr>
            <w:r>
              <w:rPr>
                <w:rFonts w:ascii="Calibri" w:hAnsi="Calibri"/>
                <w:b w:val="0"/>
                <w:i w:val="0"/>
                <w:color w:val="212B36"/>
                <w:sz w:val="22"/>
              </w:rPr>
              <w:t>Claude Cowork is a workflow implementation service designed to make AI useful, repeatable, governed, and production-ready.</w:t>
            </w:r>
          </w:p>
        </w:tc>
      </w:tr>
    </w:tbl>
    <w:p>
      <w:pPr>
        <w:spacing w:after="120"/>
      </w:pPr>
    </w:p>
    <w:p>
      <w:pPr>
        <w:keepNext/>
        <w:spacing w:before="280" w:after="120"/>
      </w:pPr>
      <w:r>
        <w:rPr>
          <w:rFonts w:ascii="Calibri" w:hAnsi="Calibri"/>
          <w:b/>
          <w:i w:val="0"/>
          <w:color w:val="1E2761"/>
          <w:sz w:val="28"/>
        </w:rPr>
        <w:t>What Claude Cowork Delivers</w:t>
      </w:r>
    </w:p>
    <w:p>
      <w:pPr>
        <w:spacing w:before="0" w:after="120" w:line="300" w:lineRule="auto"/>
        <w:jc w:val="left"/>
      </w:pPr>
      <w:r>
        <w:rPr>
          <w:rFonts w:ascii="Calibri" w:hAnsi="Calibri"/>
          <w:b w:val="0"/>
          <w:i w:val="0"/>
          <w:color w:val="212B36"/>
          <w:sz w:val="22"/>
        </w:rPr>
        <w:t>We help organisations:</w:t>
      </w:r>
    </w:p>
    <w:p>
      <w:pPr>
        <w:pStyle w:val="ListBullet"/>
        <w:spacing w:before="0" w:after="60" w:line="288" w:lineRule="auto"/>
      </w:pPr>
      <w:r>
        <w:rPr>
          <w:rFonts w:ascii="Calibri" w:hAnsi="Calibri"/>
          <w:b w:val="0"/>
          <w:i w:val="0"/>
          <w:color w:val="212B36"/>
          <w:sz w:val="22"/>
        </w:rPr>
        <w:t>identify the best-fit use cases for Claude within operational workflows</w:t>
      </w:r>
    </w:p>
    <w:p>
      <w:pPr>
        <w:pStyle w:val="ListBullet"/>
        <w:spacing w:before="0" w:after="60" w:line="288" w:lineRule="auto"/>
      </w:pPr>
      <w:r>
        <w:rPr>
          <w:rFonts w:ascii="Calibri" w:hAnsi="Calibri"/>
          <w:b w:val="0"/>
          <w:i w:val="0"/>
          <w:color w:val="212B36"/>
          <w:sz w:val="22"/>
        </w:rPr>
        <w:t>assess readiness, governance, privacy, and integration requirements</w:t>
      </w:r>
    </w:p>
    <w:p>
      <w:pPr>
        <w:pStyle w:val="ListBullet"/>
        <w:spacing w:before="0" w:after="60" w:line="288" w:lineRule="auto"/>
      </w:pPr>
      <w:r>
        <w:rPr>
          <w:rFonts w:ascii="Calibri" w:hAnsi="Calibri"/>
          <w:b w:val="0"/>
          <w:i w:val="0"/>
          <w:color w:val="212B36"/>
          <w:sz w:val="22"/>
        </w:rPr>
        <w:t>implement Claude Projects for structured team knowledge environments</w:t>
      </w:r>
    </w:p>
    <w:p>
      <w:pPr>
        <w:pStyle w:val="ListBullet"/>
        <w:spacing w:before="0" w:after="60" w:line="288" w:lineRule="auto"/>
      </w:pPr>
      <w:r>
        <w:rPr>
          <w:rFonts w:ascii="Calibri" w:hAnsi="Calibri"/>
          <w:b w:val="0"/>
          <w:i w:val="0"/>
          <w:color w:val="212B36"/>
          <w:sz w:val="22"/>
        </w:rPr>
        <w:t>deploy Claude Code to support technical, analytical, and delivery work</w:t>
      </w:r>
    </w:p>
    <w:p>
      <w:pPr>
        <w:pStyle w:val="ListBullet"/>
        <w:spacing w:before="0" w:after="60" w:line="288" w:lineRule="auto"/>
      </w:pPr>
      <w:r>
        <w:rPr>
          <w:rFonts w:ascii="Calibri" w:hAnsi="Calibri"/>
          <w:b w:val="0"/>
          <w:i w:val="0"/>
          <w:color w:val="212B36"/>
          <w:sz w:val="22"/>
        </w:rPr>
        <w:t>connect Claude to selected tools and systems using MCP</w:t>
      </w:r>
    </w:p>
    <w:p>
      <w:pPr>
        <w:pStyle w:val="ListBullet"/>
        <w:spacing w:before="0" w:after="60" w:line="288" w:lineRule="auto"/>
      </w:pPr>
      <w:r>
        <w:rPr>
          <w:rFonts w:ascii="Calibri" w:hAnsi="Calibri"/>
          <w:b w:val="0"/>
          <w:i w:val="0"/>
          <w:color w:val="212B36"/>
          <w:sz w:val="22"/>
        </w:rPr>
        <w:t>define role-based usage patterns, prompts, and working methods</w:t>
      </w:r>
    </w:p>
    <w:p>
      <w:pPr>
        <w:pStyle w:val="ListBullet"/>
        <w:spacing w:before="0" w:after="60" w:line="288" w:lineRule="auto"/>
      </w:pPr>
      <w:r>
        <w:rPr>
          <w:rFonts w:ascii="Calibri" w:hAnsi="Calibri"/>
          <w:b w:val="0"/>
          <w:i w:val="0"/>
          <w:color w:val="212B36"/>
          <w:sz w:val="22"/>
        </w:rPr>
        <w:t>establish guardrails, approval paths, and review mechanisms</w:t>
      </w:r>
    </w:p>
    <w:p>
      <w:pPr>
        <w:pStyle w:val="ListBullet"/>
        <w:spacing w:before="0" w:after="60" w:line="288" w:lineRule="auto"/>
      </w:pPr>
      <w:r>
        <w:rPr>
          <w:rFonts w:ascii="Calibri" w:hAnsi="Calibri"/>
          <w:b w:val="0"/>
          <w:i w:val="0"/>
          <w:color w:val="212B36"/>
          <w:sz w:val="22"/>
        </w:rPr>
        <w:t>support adoption, optimisation, and ongoing managed improvement</w:t>
      </w:r>
    </w:p>
    <w:p>
      <w:pPr>
        <w:keepNext/>
        <w:spacing w:before="280" w:after="120"/>
      </w:pPr>
      <w:r>
        <w:rPr>
          <w:rFonts w:ascii="Calibri" w:hAnsi="Calibri"/>
          <w:b/>
          <w:i w:val="0"/>
          <w:color w:val="1E2761"/>
          <w:sz w:val="28"/>
        </w:rPr>
        <w:t>Governance as a Service</w:t>
      </w:r>
    </w:p>
    <w:p>
      <w:pPr>
        <w:spacing w:before="0" w:after="120" w:line="300" w:lineRule="auto"/>
        <w:jc w:val="left"/>
      </w:pPr>
      <w:r>
        <w:rPr>
          <w:rFonts w:ascii="Calibri" w:hAnsi="Calibri"/>
          <w:b w:val="0"/>
          <w:i w:val="0"/>
          <w:color w:val="212B36"/>
          <w:sz w:val="22"/>
        </w:rPr>
        <w:t>A defining part of Claude Cowork is Governance as a Service. This ensures AI is not only deployed, but deployed with the controls, documentation, and operating discipline required for real business use.</w:t>
      </w:r>
    </w:p>
    <w:p>
      <w:pPr>
        <w:spacing w:before="0" w:after="120" w:line="300" w:lineRule="auto"/>
        <w:jc w:val="left"/>
      </w:pPr>
      <w:r>
        <w:rPr>
          <w:rFonts w:ascii="Calibri" w:hAnsi="Calibri"/>
          <w:b w:val="0"/>
          <w:i w:val="0"/>
          <w:color w:val="212B36"/>
          <w:sz w:val="22"/>
        </w:rPr>
        <w:t>Our AI governance service can include:</w:t>
      </w:r>
    </w:p>
    <w:p>
      <w:pPr>
        <w:pStyle w:val="ListBullet"/>
        <w:spacing w:before="0" w:after="60" w:line="288" w:lineRule="auto"/>
      </w:pPr>
      <w:r>
        <w:rPr>
          <w:rFonts w:ascii="Calibri" w:hAnsi="Calibri"/>
          <w:b w:val="0"/>
          <w:i w:val="0"/>
          <w:color w:val="212B36"/>
          <w:sz w:val="22"/>
        </w:rPr>
        <w:t>AI use case assessment and risk classification</w:t>
      </w:r>
    </w:p>
    <w:p>
      <w:pPr>
        <w:pStyle w:val="ListBullet"/>
        <w:spacing w:before="0" w:after="60" w:line="288" w:lineRule="auto"/>
      </w:pPr>
      <w:r>
        <w:rPr>
          <w:rFonts w:ascii="Calibri" w:hAnsi="Calibri"/>
          <w:b w:val="0"/>
          <w:i w:val="0"/>
          <w:color w:val="212B36"/>
          <w:sz w:val="22"/>
        </w:rPr>
        <w:t>privacy, security, and data handling controls</w:t>
      </w:r>
    </w:p>
    <w:p>
      <w:pPr>
        <w:pStyle w:val="ListBullet"/>
        <w:spacing w:before="0" w:after="60" w:line="288" w:lineRule="auto"/>
      </w:pPr>
      <w:r>
        <w:rPr>
          <w:rFonts w:ascii="Calibri" w:hAnsi="Calibri"/>
          <w:b w:val="0"/>
          <w:i w:val="0"/>
          <w:color w:val="212B36"/>
          <w:sz w:val="22"/>
        </w:rPr>
        <w:t>human-in-the-loop design for higher-risk decisions and outputs</w:t>
      </w:r>
    </w:p>
    <w:p>
      <w:pPr>
        <w:pStyle w:val="ListBullet"/>
        <w:spacing w:before="0" w:after="60" w:line="288" w:lineRule="auto"/>
      </w:pPr>
      <w:r>
        <w:rPr>
          <w:rFonts w:ascii="Calibri" w:hAnsi="Calibri"/>
          <w:b w:val="0"/>
          <w:i w:val="0"/>
          <w:color w:val="212B36"/>
          <w:sz w:val="22"/>
        </w:rPr>
        <w:t>approval and escalation pathways</w:t>
      </w:r>
    </w:p>
    <w:p>
      <w:pPr>
        <w:pStyle w:val="ListBullet"/>
        <w:spacing w:before="0" w:after="60" w:line="288" w:lineRule="auto"/>
      </w:pPr>
      <w:r>
        <w:rPr>
          <w:rFonts w:ascii="Calibri" w:hAnsi="Calibri"/>
          <w:b w:val="0"/>
          <w:i w:val="0"/>
          <w:color w:val="212B36"/>
          <w:sz w:val="22"/>
        </w:rPr>
        <w:t>transparency language for users, customers, and stakeholders</w:t>
      </w:r>
    </w:p>
    <w:p>
      <w:pPr>
        <w:pStyle w:val="ListBullet"/>
        <w:spacing w:before="0" w:after="60" w:line="288" w:lineRule="auto"/>
      </w:pPr>
      <w:r>
        <w:rPr>
          <w:rFonts w:ascii="Calibri" w:hAnsi="Calibri"/>
          <w:b w:val="0"/>
          <w:i w:val="0"/>
          <w:color w:val="212B36"/>
          <w:sz w:val="22"/>
        </w:rPr>
        <w:t>acceptable use rules, role boundaries, and prompt governance</w:t>
      </w:r>
    </w:p>
    <w:p>
      <w:pPr>
        <w:pStyle w:val="ListBullet"/>
        <w:spacing w:before="0" w:after="60" w:line="288" w:lineRule="auto"/>
      </w:pPr>
      <w:r>
        <w:rPr>
          <w:rFonts w:ascii="Calibri" w:hAnsi="Calibri"/>
          <w:b w:val="0"/>
          <w:i w:val="0"/>
          <w:color w:val="212B36"/>
          <w:sz w:val="22"/>
        </w:rPr>
        <w:t>output review, audit sampling, and exception handling</w:t>
      </w:r>
    </w:p>
    <w:p>
      <w:pPr>
        <w:pStyle w:val="ListBullet"/>
        <w:spacing w:before="0" w:after="60" w:line="288" w:lineRule="auto"/>
      </w:pPr>
      <w:r>
        <w:rPr>
          <w:rFonts w:ascii="Calibri" w:hAnsi="Calibri"/>
          <w:b w:val="0"/>
          <w:i w:val="0"/>
          <w:color w:val="212B36"/>
          <w:sz w:val="22"/>
        </w:rPr>
        <w:t>model and workflow change control</w:t>
      </w:r>
    </w:p>
    <w:p>
      <w:pPr>
        <w:pStyle w:val="ListBullet"/>
        <w:spacing w:before="0" w:after="60" w:line="288" w:lineRule="auto"/>
      </w:pPr>
      <w:r>
        <w:rPr>
          <w:rFonts w:ascii="Calibri" w:hAnsi="Calibri"/>
          <w:b w:val="0"/>
          <w:i w:val="0"/>
          <w:color w:val="212B36"/>
          <w:sz w:val="22"/>
        </w:rPr>
        <w:t>vendor, licensing, and configuration governance</w:t>
      </w:r>
    </w:p>
    <w:p>
      <w:pPr>
        <w:pStyle w:val="ListBullet"/>
        <w:spacing w:before="0" w:after="60" w:line="288" w:lineRule="auto"/>
      </w:pPr>
      <w:r>
        <w:rPr>
          <w:rFonts w:ascii="Calibri" w:hAnsi="Calibri"/>
          <w:b w:val="0"/>
          <w:i w:val="0"/>
          <w:color w:val="212B36"/>
          <w:sz w:val="22"/>
        </w:rPr>
        <w:t>incident response and remediation pathways for AI-related issues</w:t>
      </w:r>
    </w:p>
    <w:p>
      <w:pPr>
        <w:pStyle w:val="ListBullet"/>
        <w:spacing w:before="0" w:after="60" w:line="288" w:lineRule="auto"/>
      </w:pPr>
      <w:r>
        <w:rPr>
          <w:rFonts w:ascii="Calibri" w:hAnsi="Calibri"/>
          <w:b w:val="0"/>
          <w:i w:val="0"/>
          <w:color w:val="212B36"/>
          <w:sz w:val="22"/>
        </w:rPr>
        <w:t>assurance artefacts that can be embedded into project stage gates and definition of done</w:t>
      </w:r>
    </w:p>
    <w:p>
      <w:pPr>
        <w:keepNext/>
        <w:spacing w:before="280" w:after="120"/>
      </w:pPr>
      <w:r>
        <w:rPr>
          <w:rFonts w:ascii="Calibri" w:hAnsi="Calibri"/>
          <w:b/>
          <w:i w:val="0"/>
          <w:color w:val="1E2761"/>
          <w:sz w:val="28"/>
        </w:rPr>
        <w:t>Governance and Policy Alignment</w:t>
      </w:r>
    </w:p>
    <w:p>
      <w:pPr>
        <w:spacing w:before="0" w:after="120" w:line="300" w:lineRule="auto"/>
        <w:jc w:val="left"/>
      </w:pPr>
      <w:r>
        <w:rPr>
          <w:rFonts w:ascii="Calibri" w:hAnsi="Calibri"/>
          <w:b w:val="0"/>
          <w:i w:val="0"/>
          <w:color w:val="212B36"/>
          <w:sz w:val="22"/>
        </w:rPr>
        <w:t>Our Claude Cowork governance model is designed to align implementation with current Australian and NSW policy expectations.</w:t>
      </w:r>
    </w:p>
    <w:p>
      <w:pPr>
        <w:spacing w:before="0" w:after="120" w:line="300" w:lineRule="auto"/>
        <w:jc w:val="left"/>
      </w:pPr>
      <w:r>
        <w:rPr>
          <w:rFonts w:ascii="Calibri" w:hAnsi="Calibri"/>
          <w:b w:val="0"/>
          <w:i w:val="0"/>
          <w:color w:val="212B36"/>
          <w:sz w:val="22"/>
        </w:rPr>
        <w:t>This includes practical alignment with:</w:t>
      </w:r>
    </w:p>
    <w:p>
      <w:pPr>
        <w:pStyle w:val="ListBullet"/>
        <w:spacing w:before="0" w:after="60" w:line="288" w:lineRule="auto"/>
      </w:pPr>
      <w:r>
        <w:rPr>
          <w:rFonts w:ascii="Calibri" w:hAnsi="Calibri"/>
          <w:b w:val="0"/>
          <w:i w:val="0"/>
          <w:color w:val="212B36"/>
          <w:sz w:val="22"/>
        </w:rPr>
        <w:t>OAIC guidance on the use of commercially available AI products, especially where personal or sensitive information may be input into AI tools</w:t>
      </w:r>
    </w:p>
    <w:p>
      <w:pPr>
        <w:pStyle w:val="ListBullet"/>
        <w:spacing w:before="0" w:after="60" w:line="288" w:lineRule="auto"/>
      </w:pPr>
      <w:r>
        <w:rPr>
          <w:rFonts w:ascii="Calibri" w:hAnsi="Calibri"/>
          <w:b w:val="0"/>
          <w:i w:val="0"/>
          <w:color w:val="212B36"/>
          <w:sz w:val="22"/>
        </w:rPr>
        <w:t>OAIC guidance on developing and training generative AI models where fine-tuning, adaptation, or model-specific data handling is involved</w:t>
      </w:r>
    </w:p>
    <w:p>
      <w:pPr>
        <w:pStyle w:val="ListBullet"/>
        <w:spacing w:before="0" w:after="60" w:line="288" w:lineRule="auto"/>
      </w:pPr>
      <w:r>
        <w:rPr>
          <w:rFonts w:ascii="Calibri" w:hAnsi="Calibri"/>
          <w:b w:val="0"/>
          <w:i w:val="0"/>
          <w:color w:val="212B36"/>
          <w:sz w:val="22"/>
        </w:rPr>
        <w:t>the Privacy Act and the upcoming APP 1 automated-decision transparency obligations commencing on 10 December 2026 where relevant</w:t>
      </w:r>
    </w:p>
    <w:p>
      <w:pPr>
        <w:pStyle w:val="ListBullet"/>
        <w:spacing w:before="0" w:after="60" w:line="288" w:lineRule="auto"/>
      </w:pPr>
      <w:r>
        <w:rPr>
          <w:rFonts w:ascii="Calibri" w:hAnsi="Calibri"/>
          <w:b w:val="0"/>
          <w:i w:val="0"/>
          <w:color w:val="212B36"/>
          <w:sz w:val="22"/>
        </w:rPr>
        <w:t>Australian Consumer Law expectations, including avoiding misleading claims about AI capability, accuracy, automation, or outcomes</w:t>
      </w:r>
    </w:p>
    <w:p>
      <w:pPr>
        <w:pStyle w:val="ListBullet"/>
        <w:spacing w:before="0" w:after="60" w:line="288" w:lineRule="auto"/>
      </w:pPr>
      <w:r>
        <w:rPr>
          <w:rFonts w:ascii="Calibri" w:hAnsi="Calibri"/>
          <w:b w:val="0"/>
          <w:i w:val="0"/>
          <w:color w:val="212B36"/>
          <w:sz w:val="22"/>
        </w:rPr>
        <w:t>the Voluntary AI Safety Standard and its 10 guardrails as a practical governance benchmark for business deployments</w:t>
      </w:r>
    </w:p>
    <w:p>
      <w:pPr>
        <w:pStyle w:val="ListBullet"/>
        <w:spacing w:before="0" w:after="60" w:line="288" w:lineRule="auto"/>
      </w:pPr>
      <w:r>
        <w:rPr>
          <w:rFonts w:ascii="Calibri" w:hAnsi="Calibri"/>
          <w:b w:val="0"/>
          <w:i w:val="0"/>
          <w:color w:val="212B36"/>
          <w:sz w:val="22"/>
        </w:rPr>
        <w:t>the NSW AI Assessment Framework for NSW Government agencies and a useful benchmark for government-adjacent suppliers</w:t>
      </w:r>
    </w:p>
    <w:p>
      <w:pPr>
        <w:pStyle w:val="ListBullet"/>
        <w:spacing w:before="0" w:after="60" w:line="288" w:lineRule="auto"/>
      </w:pPr>
      <w:r>
        <w:rPr>
          <w:rFonts w:ascii="Calibri" w:hAnsi="Calibri"/>
          <w:b w:val="0"/>
          <w:i w:val="0"/>
          <w:color w:val="212B36"/>
          <w:sz w:val="22"/>
        </w:rPr>
        <w:t>the NSW guide to using AI agents where agentic workflows plan, act, or interact with systems</w:t>
      </w:r>
    </w:p>
    <w:p>
      <w:pPr>
        <w:pStyle w:val="ListBullet"/>
        <w:spacing w:before="0" w:after="60" w:line="288" w:lineRule="auto"/>
      </w:pPr>
      <w:r>
        <w:rPr>
          <w:rFonts w:ascii="Calibri" w:hAnsi="Calibri"/>
          <w:b w:val="0"/>
          <w:i w:val="0"/>
          <w:color w:val="212B36"/>
          <w:sz w:val="22"/>
        </w:rPr>
        <w:t>the Australian Government AI policy, including accountability, transparency, and impact assessment expectations, as a useful reference model for high-assurance operating environments</w:t>
      </w:r>
    </w:p>
    <w:p>
      <w:pPr>
        <w:pStyle w:val="ListBullet"/>
        <w:spacing w:before="0" w:after="60" w:line="288" w:lineRule="auto"/>
      </w:pPr>
      <w:r>
        <w:rPr>
          <w:rFonts w:ascii="Calibri" w:hAnsi="Calibri"/>
          <w:b w:val="0"/>
          <w:i w:val="0"/>
          <w:color w:val="212B36"/>
          <w:sz w:val="22"/>
        </w:rPr>
        <w:t>APRA CPS 234 where clients operate in APRA-regulated sectors and information security controls are critical</w:t>
      </w:r>
    </w:p>
    <w:p>
      <w:pPr>
        <w:pStyle w:val="ListBullet"/>
        <w:spacing w:before="0" w:after="60" w:line="288" w:lineRule="auto"/>
      </w:pPr>
      <w:r>
        <w:rPr>
          <w:rFonts w:ascii="Calibri" w:hAnsi="Calibri"/>
          <w:b w:val="0"/>
          <w:i w:val="0"/>
          <w:color w:val="212B36"/>
          <w:sz w:val="22"/>
        </w:rPr>
        <w:t>NSW digital work systems reforms where AI or algorithmic systems influence work instructions, pace, or worker safety outcomes</w:t>
      </w:r>
    </w:p>
    <w:p>
      <w:pPr>
        <w:keepNext/>
        <w:spacing w:before="280" w:after="120"/>
      </w:pPr>
      <w:r>
        <w:rPr>
          <w:rFonts w:ascii="Calibri" w:hAnsi="Calibri"/>
          <w:b/>
          <w:i w:val="0"/>
          <w:color w:val="1E2761"/>
          <w:sz w:val="28"/>
        </w:rPr>
        <w:t>Typical Use Cases</w:t>
      </w:r>
    </w:p>
    <w:p>
      <w:pPr>
        <w:spacing w:before="0" w:after="120" w:line="300" w:lineRule="auto"/>
        <w:jc w:val="left"/>
      </w:pPr>
      <w:r>
        <w:rPr>
          <w:rFonts w:ascii="Calibri" w:hAnsi="Calibri"/>
          <w:b w:val="0"/>
          <w:i w:val="0"/>
          <w:color w:val="212B36"/>
          <w:sz w:val="22"/>
        </w:rPr>
        <w:t>Claude Cowork is well suited to organisations that deal with high volumes of documentation, fragmented context, and knowledge-intensive work. Typical use cases include:</w:t>
      </w:r>
    </w:p>
    <w:p>
      <w:pPr>
        <w:pStyle w:val="ListBullet"/>
        <w:spacing w:before="0" w:after="60" w:line="288" w:lineRule="auto"/>
      </w:pPr>
      <w:r>
        <w:rPr>
          <w:rFonts w:ascii="Calibri" w:hAnsi="Calibri"/>
          <w:b w:val="0"/>
          <w:i w:val="0"/>
          <w:color w:val="212B36"/>
          <w:sz w:val="22"/>
        </w:rPr>
        <w:t>project and program documentation synthesis</w:t>
      </w:r>
    </w:p>
    <w:p>
      <w:pPr>
        <w:pStyle w:val="ListBullet"/>
        <w:spacing w:before="0" w:after="60" w:line="288" w:lineRule="auto"/>
      </w:pPr>
      <w:r>
        <w:rPr>
          <w:rFonts w:ascii="Calibri" w:hAnsi="Calibri"/>
          <w:b w:val="0"/>
          <w:i w:val="0"/>
          <w:color w:val="212B36"/>
          <w:sz w:val="22"/>
        </w:rPr>
        <w:t>policy and procedure interpretation</w:t>
      </w:r>
    </w:p>
    <w:p>
      <w:pPr>
        <w:pStyle w:val="ListBullet"/>
        <w:spacing w:before="0" w:after="60" w:line="288" w:lineRule="auto"/>
      </w:pPr>
      <w:r>
        <w:rPr>
          <w:rFonts w:ascii="Calibri" w:hAnsi="Calibri"/>
          <w:b w:val="0"/>
          <w:i w:val="0"/>
          <w:color w:val="212B36"/>
          <w:sz w:val="22"/>
        </w:rPr>
        <w:t>tender, procurement, and evaluation support</w:t>
      </w:r>
    </w:p>
    <w:p>
      <w:pPr>
        <w:pStyle w:val="ListBullet"/>
        <w:spacing w:before="0" w:after="60" w:line="288" w:lineRule="auto"/>
      </w:pPr>
      <w:r>
        <w:rPr>
          <w:rFonts w:ascii="Calibri" w:hAnsi="Calibri"/>
          <w:b w:val="0"/>
          <w:i w:val="0"/>
          <w:color w:val="212B36"/>
          <w:sz w:val="22"/>
        </w:rPr>
        <w:t>legal and contract analysis support</w:t>
      </w:r>
    </w:p>
    <w:p>
      <w:pPr>
        <w:pStyle w:val="ListBullet"/>
        <w:spacing w:before="0" w:after="60" w:line="288" w:lineRule="auto"/>
      </w:pPr>
      <w:r>
        <w:rPr>
          <w:rFonts w:ascii="Calibri" w:hAnsi="Calibri"/>
          <w:b w:val="0"/>
          <w:i w:val="0"/>
          <w:color w:val="212B36"/>
          <w:sz w:val="22"/>
        </w:rPr>
        <w:t>executive briefings and board pack preparation</w:t>
      </w:r>
    </w:p>
    <w:p>
      <w:pPr>
        <w:pStyle w:val="ListBullet"/>
        <w:spacing w:before="0" w:after="60" w:line="288" w:lineRule="auto"/>
      </w:pPr>
      <w:r>
        <w:rPr>
          <w:rFonts w:ascii="Calibri" w:hAnsi="Calibri"/>
          <w:b w:val="0"/>
          <w:i w:val="0"/>
          <w:color w:val="212B36"/>
          <w:sz w:val="22"/>
        </w:rPr>
        <w:t>research and report drafting</w:t>
      </w:r>
    </w:p>
    <w:p>
      <w:pPr>
        <w:pStyle w:val="ListBullet"/>
        <w:spacing w:before="0" w:after="60" w:line="288" w:lineRule="auto"/>
      </w:pPr>
      <w:r>
        <w:rPr>
          <w:rFonts w:ascii="Calibri" w:hAnsi="Calibri"/>
          <w:b w:val="0"/>
          <w:i w:val="0"/>
          <w:color w:val="212B36"/>
          <w:sz w:val="22"/>
        </w:rPr>
        <w:t>technical documentation review</w:t>
      </w:r>
    </w:p>
    <w:p>
      <w:pPr>
        <w:pStyle w:val="ListBullet"/>
        <w:spacing w:before="0" w:after="60" w:line="288" w:lineRule="auto"/>
      </w:pPr>
      <w:r>
        <w:rPr>
          <w:rFonts w:ascii="Calibri" w:hAnsi="Calibri"/>
          <w:b w:val="0"/>
          <w:i w:val="0"/>
          <w:color w:val="212B36"/>
          <w:sz w:val="22"/>
        </w:rPr>
        <w:t>PMO, governance, and delivery support workflows</w:t>
      </w:r>
    </w:p>
    <w:p>
      <w:pPr>
        <w:pStyle w:val="ListBullet"/>
        <w:spacing w:before="0" w:after="60" w:line="288" w:lineRule="auto"/>
      </w:pPr>
      <w:r>
        <w:rPr>
          <w:rFonts w:ascii="Calibri" w:hAnsi="Calibri"/>
          <w:b w:val="0"/>
          <w:i w:val="0"/>
          <w:color w:val="212B36"/>
          <w:sz w:val="22"/>
        </w:rPr>
        <w:t>internal knowledge retrieval and decision support</w:t>
      </w:r>
    </w:p>
    <w:p>
      <w:pPr>
        <w:keepNext/>
        <w:spacing w:before="280" w:after="120"/>
      </w:pPr>
      <w:r>
        <w:rPr>
          <w:rFonts w:ascii="Calibri" w:hAnsi="Calibri"/>
          <w:b/>
          <w:i w:val="0"/>
          <w:color w:val="1E2761"/>
          <w:sz w:val="28"/>
        </w:rPr>
        <w:t>Delivery Model</w:t>
      </w:r>
    </w:p>
    <w:p>
      <w:pPr>
        <w:spacing w:before="0" w:after="120" w:line="300" w:lineRule="auto"/>
        <w:jc w:val="left"/>
      </w:pPr>
      <w:r>
        <w:rPr>
          <w:rFonts w:ascii="Calibri" w:hAnsi="Calibri"/>
          <w:b w:val="0"/>
          <w:i w:val="0"/>
          <w:color w:val="212B36"/>
          <w:sz w:val="22"/>
        </w:rPr>
        <w:t>Our Claude Cowork model typically follows a staged path:</w:t>
      </w:r>
    </w:p>
    <w:p>
      <w:pPr>
        <w:keepNext/>
        <w:spacing w:before="220" w:after="80"/>
      </w:pPr>
      <w:r>
        <w:rPr>
          <w:rFonts w:ascii="Calibri" w:hAnsi="Calibri"/>
          <w:b/>
          <w:i w:val="0"/>
          <w:color w:val="36454F"/>
          <w:sz w:val="24"/>
        </w:rPr>
        <w:t>1. Context Audit</w:t>
      </w:r>
    </w:p>
    <w:p>
      <w:pPr>
        <w:spacing w:before="0" w:after="120" w:line="300" w:lineRule="auto"/>
        <w:jc w:val="left"/>
      </w:pPr>
      <w:r>
        <w:rPr>
          <w:rFonts w:ascii="Calibri" w:hAnsi="Calibri"/>
          <w:b w:val="0"/>
          <w:i w:val="0"/>
          <w:color w:val="212B36"/>
          <w:sz w:val="22"/>
        </w:rPr>
        <w:t>We assess workflows, source systems, risk profile, governance requirements, and AI suitability.</w:t>
      </w:r>
    </w:p>
    <w:p>
      <w:pPr>
        <w:keepNext/>
        <w:spacing w:before="220" w:after="80"/>
      </w:pPr>
      <w:r>
        <w:rPr>
          <w:rFonts w:ascii="Calibri" w:hAnsi="Calibri"/>
          <w:b/>
          <w:i w:val="0"/>
          <w:color w:val="36454F"/>
          <w:sz w:val="24"/>
        </w:rPr>
        <w:t>2. Pilot Implementation</w:t>
      </w:r>
    </w:p>
    <w:p>
      <w:pPr>
        <w:spacing w:before="0" w:after="120" w:line="300" w:lineRule="auto"/>
        <w:jc w:val="left"/>
      </w:pPr>
      <w:r>
        <w:rPr>
          <w:rFonts w:ascii="Calibri" w:hAnsi="Calibri"/>
          <w:b w:val="0"/>
          <w:i w:val="0"/>
          <w:color w:val="212B36"/>
          <w:sz w:val="22"/>
        </w:rPr>
        <w:t>We implement a focused use case with defined success measures, user enablement, and governance controls.</w:t>
      </w:r>
    </w:p>
    <w:p>
      <w:pPr>
        <w:keepNext/>
        <w:spacing w:before="220" w:after="80"/>
      </w:pPr>
      <w:r>
        <w:rPr>
          <w:rFonts w:ascii="Calibri" w:hAnsi="Calibri"/>
          <w:b/>
          <w:i w:val="0"/>
          <w:color w:val="36454F"/>
          <w:sz w:val="24"/>
        </w:rPr>
        <w:t>3. Operational Rollout</w:t>
      </w:r>
    </w:p>
    <w:p>
      <w:pPr>
        <w:spacing w:before="0" w:after="120" w:line="300" w:lineRule="auto"/>
        <w:jc w:val="left"/>
      </w:pPr>
      <w:r>
        <w:rPr>
          <w:rFonts w:ascii="Calibri" w:hAnsi="Calibri"/>
          <w:b w:val="0"/>
          <w:i w:val="0"/>
          <w:color w:val="212B36"/>
          <w:sz w:val="22"/>
        </w:rPr>
        <w:t>We expand into team-based workflows, role-specific patterns, governed operating practices, and integrated ways of working.</w:t>
      </w:r>
    </w:p>
    <w:p>
      <w:pPr>
        <w:keepNext/>
        <w:spacing w:before="220" w:after="80"/>
      </w:pPr>
      <w:r>
        <w:rPr>
          <w:rFonts w:ascii="Calibri" w:hAnsi="Calibri"/>
          <w:b/>
          <w:i w:val="0"/>
          <w:color w:val="36454F"/>
          <w:sz w:val="24"/>
        </w:rPr>
        <w:t>4. Managed Support</w:t>
      </w:r>
    </w:p>
    <w:p>
      <w:pPr>
        <w:spacing w:before="0" w:after="120" w:line="300" w:lineRule="auto"/>
        <w:jc w:val="left"/>
      </w:pPr>
      <w:r>
        <w:rPr>
          <w:rFonts w:ascii="Calibri" w:hAnsi="Calibri"/>
          <w:b w:val="0"/>
          <w:i w:val="0"/>
          <w:color w:val="212B36"/>
          <w:sz w:val="22"/>
        </w:rPr>
        <w:t>We provide ongoing optimisation, governance review, workflow tuning, assurance support, and long-term adoption management.</w:t>
      </w:r>
    </w:p>
    <w:p>
      <w:pPr>
        <w:keepNext/>
        <w:spacing w:before="280" w:after="120"/>
      </w:pPr>
      <w:r>
        <w:rPr>
          <w:rFonts w:ascii="Calibri" w:hAnsi="Calibri"/>
          <w:b/>
          <w:i w:val="0"/>
          <w:color w:val="1E2761"/>
          <w:sz w:val="28"/>
        </w:rPr>
        <w:t>Why Claude Cowork Matters</w:t>
      </w:r>
    </w:p>
    <w:p>
      <w:pPr>
        <w:spacing w:before="0" w:after="120" w:line="300" w:lineRule="auto"/>
        <w:jc w:val="left"/>
      </w:pPr>
      <w:r>
        <w:rPr>
          <w:rFonts w:ascii="Calibri" w:hAnsi="Calibri"/>
          <w:b w:val="0"/>
          <w:i w:val="0"/>
          <w:color w:val="212B36"/>
          <w:sz w:val="22"/>
        </w:rPr>
        <w:t>Many organisations have already experimented with AI. Few have successfully embedded it into operational workflows in a way that is reliable, governed, and useful at scale.</w:t>
      </w:r>
    </w:p>
    <w:p>
      <w:pPr>
        <w:spacing w:before="0" w:after="120" w:line="300" w:lineRule="auto"/>
        <w:jc w:val="left"/>
      </w:pPr>
      <w:r>
        <w:rPr>
          <w:rFonts w:ascii="Calibri" w:hAnsi="Calibri"/>
          <w:b w:val="0"/>
          <w:i w:val="0"/>
          <w:color w:val="212B36"/>
          <w:sz w:val="22"/>
        </w:rPr>
        <w:t>Claude Cowork addresses that gap by helping organisations move from:</w:t>
      </w:r>
    </w:p>
    <w:p>
      <w:pPr>
        <w:pStyle w:val="ListBullet"/>
        <w:spacing w:before="0" w:after="60" w:line="288" w:lineRule="auto"/>
      </w:pPr>
      <w:r>
        <w:rPr>
          <w:rFonts w:ascii="Calibri" w:hAnsi="Calibri"/>
          <w:b w:val="0"/>
          <w:i w:val="0"/>
          <w:color w:val="212B36"/>
          <w:sz w:val="22"/>
        </w:rPr>
        <w:t>experimentation to implementation</w:t>
      </w:r>
    </w:p>
    <w:p>
      <w:pPr>
        <w:pStyle w:val="ListBullet"/>
        <w:spacing w:before="0" w:after="60" w:line="288" w:lineRule="auto"/>
      </w:pPr>
      <w:r>
        <w:rPr>
          <w:rFonts w:ascii="Calibri" w:hAnsi="Calibri"/>
          <w:b w:val="0"/>
          <w:i w:val="0"/>
          <w:color w:val="212B36"/>
          <w:sz w:val="22"/>
        </w:rPr>
        <w:t>prompts to structured workflows</w:t>
      </w:r>
    </w:p>
    <w:p>
      <w:pPr>
        <w:pStyle w:val="ListBullet"/>
        <w:spacing w:before="0" w:after="60" w:line="288" w:lineRule="auto"/>
      </w:pPr>
      <w:r>
        <w:rPr>
          <w:rFonts w:ascii="Calibri" w:hAnsi="Calibri"/>
          <w:b w:val="0"/>
          <w:i w:val="0"/>
          <w:color w:val="212B36"/>
          <w:sz w:val="22"/>
        </w:rPr>
        <w:t>isolated use to team-based operating environments</w:t>
      </w:r>
    </w:p>
    <w:p>
      <w:pPr>
        <w:pStyle w:val="ListBullet"/>
        <w:spacing w:before="0" w:after="60" w:line="288" w:lineRule="auto"/>
      </w:pPr>
      <w:r>
        <w:rPr>
          <w:rFonts w:ascii="Calibri" w:hAnsi="Calibri"/>
          <w:b w:val="0"/>
          <w:i w:val="0"/>
          <w:color w:val="212B36"/>
          <w:sz w:val="22"/>
        </w:rPr>
        <w:t>AI curiosity to measurable productivity and decision support</w:t>
      </w:r>
    </w:p>
    <w:p>
      <w:pPr>
        <w:pStyle w:val="ListBullet"/>
        <w:spacing w:before="0" w:after="60" w:line="288" w:lineRule="auto"/>
      </w:pPr>
      <w:r>
        <w:rPr>
          <w:rFonts w:ascii="Calibri" w:hAnsi="Calibri"/>
          <w:b w:val="0"/>
          <w:i w:val="0"/>
          <w:color w:val="212B36"/>
          <w:sz w:val="22"/>
        </w:rPr>
        <w:t>unmanaged adoption to controlled, transparent, and accountable usage</w:t>
      </w:r>
    </w:p>
    <w:p>
      <w:pPr>
        <w:keepNext/>
        <w:spacing w:before="280" w:after="120"/>
      </w:pPr>
      <w:r>
        <w:rPr>
          <w:rFonts w:ascii="Calibri" w:hAnsi="Calibri"/>
          <w:b/>
          <w:i w:val="0"/>
          <w:color w:val="1E2761"/>
          <w:sz w:val="28"/>
        </w:rPr>
        <w:t>Why 360 DS</w:t>
      </w:r>
    </w:p>
    <w:p>
      <w:pPr>
        <w:spacing w:before="0" w:after="120" w:line="300" w:lineRule="auto"/>
        <w:jc w:val="left"/>
      </w:pPr>
      <w:r>
        <w:rPr>
          <w:rFonts w:ascii="Calibri" w:hAnsi="Calibri"/>
          <w:b w:val="0"/>
          <w:i w:val="0"/>
          <w:color w:val="212B36"/>
          <w:sz w:val="22"/>
        </w:rPr>
        <w:t>360 DS brings a practical implementation mindset, not just AI enthusiasm. Our strength is in translating emerging capability into controlled business outcomes. We combine:</w:t>
      </w:r>
    </w:p>
    <w:p>
      <w:pPr>
        <w:pStyle w:val="ListBullet"/>
        <w:spacing w:before="0" w:after="60" w:line="288" w:lineRule="auto"/>
      </w:pPr>
      <w:r>
        <w:rPr>
          <w:rFonts w:ascii="Calibri" w:hAnsi="Calibri"/>
          <w:b w:val="0"/>
          <w:i w:val="0"/>
          <w:color w:val="212B36"/>
          <w:sz w:val="22"/>
        </w:rPr>
        <w:t>senior program and transformation leadership</w:t>
      </w:r>
    </w:p>
    <w:p>
      <w:pPr>
        <w:pStyle w:val="ListBullet"/>
        <w:spacing w:before="0" w:after="60" w:line="288" w:lineRule="auto"/>
      </w:pPr>
      <w:r>
        <w:rPr>
          <w:rFonts w:ascii="Calibri" w:hAnsi="Calibri"/>
          <w:b w:val="0"/>
          <w:i w:val="0"/>
          <w:color w:val="212B36"/>
          <w:sz w:val="22"/>
        </w:rPr>
        <w:t>governance and assurance discipline</w:t>
      </w:r>
    </w:p>
    <w:p>
      <w:pPr>
        <w:pStyle w:val="ListBullet"/>
        <w:spacing w:before="0" w:after="60" w:line="288" w:lineRule="auto"/>
      </w:pPr>
      <w:r>
        <w:rPr>
          <w:rFonts w:ascii="Calibri" w:hAnsi="Calibri"/>
          <w:b w:val="0"/>
          <w:i w:val="0"/>
          <w:color w:val="212B36"/>
          <w:sz w:val="22"/>
        </w:rPr>
        <w:t>business and technical translation capability</w:t>
      </w:r>
    </w:p>
    <w:p>
      <w:pPr>
        <w:pStyle w:val="ListBullet"/>
        <w:spacing w:before="0" w:after="60" w:line="288" w:lineRule="auto"/>
      </w:pPr>
      <w:r>
        <w:rPr>
          <w:rFonts w:ascii="Calibri" w:hAnsi="Calibri"/>
          <w:b w:val="0"/>
          <w:i w:val="0"/>
          <w:color w:val="212B36"/>
          <w:sz w:val="22"/>
        </w:rPr>
        <w:t>practical understanding of regulated environments</w:t>
      </w:r>
    </w:p>
    <w:p>
      <w:pPr>
        <w:pStyle w:val="ListBullet"/>
        <w:spacing w:before="0" w:after="60" w:line="288" w:lineRule="auto"/>
      </w:pPr>
      <w:r>
        <w:rPr>
          <w:rFonts w:ascii="Calibri" w:hAnsi="Calibri"/>
          <w:b w:val="0"/>
          <w:i w:val="0"/>
          <w:color w:val="212B36"/>
          <w:sz w:val="22"/>
        </w:rPr>
        <w:t>experience designing structured delivery operating models</w:t>
      </w:r>
    </w:p>
    <w:p>
      <w:pPr>
        <w:pStyle w:val="ListBullet"/>
        <w:spacing w:before="0" w:after="60" w:line="288" w:lineRule="auto"/>
      </w:pPr>
      <w:r>
        <w:rPr>
          <w:rFonts w:ascii="Calibri" w:hAnsi="Calibri"/>
          <w:b w:val="0"/>
          <w:i w:val="0"/>
          <w:color w:val="212B36"/>
          <w:sz w:val="22"/>
        </w:rPr>
        <w:t>a strong focus on safe, useful, and repeatable AI adoption</w:t>
      </w:r>
    </w:p>
    <w:p>
      <w:pPr>
        <w:keepNext/>
        <w:spacing w:before="280" w:after="120"/>
      </w:pPr>
      <w:r>
        <w:rPr>
          <w:rFonts w:ascii="Calibri" w:hAnsi="Calibri"/>
          <w:b/>
          <w:i w:val="0"/>
          <w:color w:val="1E2761"/>
          <w:sz w:val="28"/>
        </w:rPr>
        <w:t>Ideal Client Profile</w:t>
      </w:r>
    </w:p>
    <w:p>
      <w:pPr>
        <w:spacing w:before="0" w:after="120" w:line="300" w:lineRule="auto"/>
        <w:jc w:val="left"/>
      </w:pPr>
      <w:r>
        <w:rPr>
          <w:rFonts w:ascii="Calibri" w:hAnsi="Calibri"/>
          <w:b w:val="0"/>
          <w:i w:val="0"/>
          <w:color w:val="212B36"/>
          <w:sz w:val="22"/>
        </w:rPr>
        <w:t>Claude Cowork is best suited to:</w:t>
      </w:r>
    </w:p>
    <w:p>
      <w:pPr>
        <w:pStyle w:val="ListBullet"/>
        <w:spacing w:before="0" w:after="60" w:line="288" w:lineRule="auto"/>
      </w:pPr>
      <w:r>
        <w:rPr>
          <w:rFonts w:ascii="Calibri" w:hAnsi="Calibri"/>
          <w:b w:val="0"/>
          <w:i w:val="0"/>
          <w:color w:val="212B36"/>
          <w:sz w:val="22"/>
        </w:rPr>
        <w:t>government and government-adjacent organisations</w:t>
      </w:r>
    </w:p>
    <w:p>
      <w:pPr>
        <w:pStyle w:val="ListBullet"/>
        <w:spacing w:before="0" w:after="60" w:line="288" w:lineRule="auto"/>
      </w:pPr>
      <w:r>
        <w:rPr>
          <w:rFonts w:ascii="Calibri" w:hAnsi="Calibri"/>
          <w:b w:val="0"/>
          <w:i w:val="0"/>
          <w:color w:val="212B36"/>
          <w:sz w:val="22"/>
        </w:rPr>
        <w:t>professional services firms</w:t>
      </w:r>
    </w:p>
    <w:p>
      <w:pPr>
        <w:pStyle w:val="ListBullet"/>
        <w:spacing w:before="0" w:after="60" w:line="288" w:lineRule="auto"/>
      </w:pPr>
      <w:r>
        <w:rPr>
          <w:rFonts w:ascii="Calibri" w:hAnsi="Calibri"/>
          <w:b w:val="0"/>
          <w:i w:val="0"/>
          <w:color w:val="212B36"/>
          <w:sz w:val="22"/>
        </w:rPr>
        <w:t>financial services and fintech businesses</w:t>
      </w:r>
    </w:p>
    <w:p>
      <w:pPr>
        <w:pStyle w:val="ListBullet"/>
        <w:spacing w:before="0" w:after="60" w:line="288" w:lineRule="auto"/>
      </w:pPr>
      <w:r>
        <w:rPr>
          <w:rFonts w:ascii="Calibri" w:hAnsi="Calibri"/>
          <w:b w:val="0"/>
          <w:i w:val="0"/>
          <w:color w:val="212B36"/>
          <w:sz w:val="22"/>
        </w:rPr>
        <w:t>legal teams and advisory firms</w:t>
      </w:r>
    </w:p>
    <w:p>
      <w:pPr>
        <w:pStyle w:val="ListBullet"/>
        <w:spacing w:before="0" w:after="60" w:line="288" w:lineRule="auto"/>
      </w:pPr>
      <w:r>
        <w:rPr>
          <w:rFonts w:ascii="Calibri" w:hAnsi="Calibri"/>
          <w:b w:val="0"/>
          <w:i w:val="0"/>
          <w:color w:val="212B36"/>
          <w:sz w:val="22"/>
        </w:rPr>
        <w:t>engineering and infrastructure organisations</w:t>
      </w:r>
    </w:p>
    <w:p>
      <w:pPr>
        <w:pStyle w:val="ListBullet"/>
        <w:spacing w:before="0" w:after="60" w:line="288" w:lineRule="auto"/>
      </w:pPr>
      <w:r>
        <w:rPr>
          <w:rFonts w:ascii="Calibri" w:hAnsi="Calibri"/>
          <w:b w:val="0"/>
          <w:i w:val="0"/>
          <w:color w:val="212B36"/>
          <w:sz w:val="22"/>
        </w:rPr>
        <w:t>higher education, research, and knowledge-intensive enterprises</w:t>
      </w:r>
    </w:p>
    <w:p>
      <w:pPr>
        <w:keepNext/>
        <w:spacing w:before="280" w:after="120"/>
      </w:pPr>
      <w:r>
        <w:rPr>
          <w:rFonts w:ascii="Calibri" w:hAnsi="Calibri"/>
          <w:b/>
          <w:i w:val="0"/>
          <w:color w:val="1E2761"/>
          <w:sz w:val="28"/>
        </w:rPr>
        <w:t>Our Value Proposition</w:t>
      </w:r>
    </w:p>
    <w:tbl>
      <w:tblPr>
        <w:tblW w:type="auto" w:w="0"/>
        <w:jc w:val="center"/>
        <w:tblLayout w:type="fixed"/>
        <w:tblLook w:firstColumn="1" w:firstRow="1" w:lastColumn="0" w:lastRow="0" w:noHBand="0" w:noVBand="1" w:val="04A0"/>
      </w:tblPr>
      <w:tblGrid>
        <w:gridCol w:w="9638"/>
      </w:tblGrid>
      <w:tr>
        <w:tc>
          <w:tcPr>
            <w:tcW w:type="dxa" w:w="9638"/>
            <w:tcBorders>
              <w:top w:val="single" w:sz="6" w:space="0" w:color="1E2761"/>
              <w:start w:val="single" w:sz="6" w:space="0" w:color="1E2761"/>
              <w:bottom w:val="single" w:sz="6" w:space="0" w:color="1E2761"/>
              <w:end w:val="single" w:sz="6" w:space="0" w:color="1E2761"/>
            </w:tcBorders>
            <w:shd w:val="clear" w:color="auto" w:fill="F2F4F8"/>
            <w:tcMar>
              <w:top w:w="180" w:type="dxa"/>
              <w:start w:w="220" w:type="dxa"/>
              <w:bottom w:w="180" w:type="dxa"/>
              <w:end w:w="220" w:type="dxa"/>
            </w:tcMar>
          </w:tcPr>
          <w:p>
            <w:pPr>
              <w:spacing w:after="80"/>
            </w:pPr>
            <w:r>
              <w:rPr>
                <w:rFonts w:ascii="Calibri" w:hAnsi="Calibri"/>
                <w:b/>
                <w:i w:val="0"/>
                <w:color w:val="1E2761"/>
                <w:sz w:val="24"/>
              </w:rPr>
              <w:t>From standalone tool to integrated way of working</w:t>
            </w:r>
          </w:p>
          <w:p>
            <w:pPr>
              <w:spacing w:after="0" w:line="300" w:lineRule="auto"/>
            </w:pPr>
            <w:r>
              <w:rPr>
                <w:rFonts w:ascii="Calibri" w:hAnsi="Calibri"/>
                <w:b w:val="0"/>
                <w:i w:val="0"/>
                <w:color w:val="212B36"/>
                <w:sz w:val="22"/>
              </w:rPr>
              <w:t>Claude Cowork helps organisations transform Claude from a standalone AI tool into an integrated, governed, and high-performance way of working. We help clients unlock real value from AI by embedding it where work actually happens, with the governance, assurance, and operating discipline required for trusted adoption at scale.</w:t>
            </w:r>
          </w:p>
        </w:tc>
      </w:tr>
    </w:tbl>
    <w:p>
      <w:pPr>
        <w:spacing w:after="120"/>
      </w:pPr>
    </w:p>
    <w:p>
      <w:r>
        <w:br w:type="page"/>
      </w:r>
    </w:p>
    <w:p>
      <w:pPr>
        <w:keepNext/>
        <w:pBdr>
          <w:bottom w:val="single" w:sz="8" w:space="6" w:color="1E2761"/>
        </w:pBdr>
        <w:spacing w:before="360" w:after="160"/>
      </w:pPr>
      <w:r>
        <w:rPr>
          <w:rFonts w:ascii="Calibri" w:hAnsi="Calibri"/>
          <w:b/>
          <w:i w:val="0"/>
          <w:color w:val="1E2761"/>
          <w:sz w:val="36"/>
        </w:rPr>
        <w:t>Short-Form Capability Summaries</w:t>
      </w:r>
    </w:p>
    <w:p>
      <w:pPr>
        <w:keepNext/>
        <w:spacing w:before="280" w:after="120"/>
      </w:pPr>
      <w:r>
        <w:rPr>
          <w:rFonts w:ascii="Calibri" w:hAnsi="Calibri"/>
          <w:b/>
          <w:i w:val="0"/>
          <w:color w:val="1E2761"/>
          <w:sz w:val="28"/>
        </w:rPr>
        <w:t>Project and Program Management</w:t>
      </w:r>
    </w:p>
    <w:p>
      <w:pPr>
        <w:spacing w:before="0" w:after="120" w:line="300" w:lineRule="auto"/>
        <w:jc w:val="left"/>
      </w:pPr>
      <w:r>
        <w:rPr>
          <w:rFonts w:ascii="Calibri" w:hAnsi="Calibri"/>
          <w:b w:val="0"/>
          <w:i w:val="0"/>
          <w:color w:val="212B36"/>
          <w:sz w:val="22"/>
        </w:rPr>
        <w:t>360 DS provides senior project and program management services for complex business and technology transformation across government, enterprise, and regulated environments. We specialise in delivery governance, project recovery, integrated planning, procurement support, stakeholder management, vendor coordination, and business readiness. A core part of our offer is Governance as a Service, providing structured project controls, stage gates, assurance reviews, executive reporting, risk governance, and audit-ready traceability to strengthen delivery confidence and reduce execution risk.</w:t>
      </w:r>
    </w:p>
    <w:p>
      <w:pPr>
        <w:keepNext/>
        <w:spacing w:before="280" w:after="120"/>
      </w:pPr>
      <w:r>
        <w:rPr>
          <w:rFonts w:ascii="Calibri" w:hAnsi="Calibri"/>
          <w:b/>
          <w:i w:val="0"/>
          <w:color w:val="1E2761"/>
          <w:sz w:val="28"/>
        </w:rPr>
        <w:t>Claude Cowork</w:t>
      </w:r>
    </w:p>
    <w:p>
      <w:pPr>
        <w:spacing w:before="0" w:after="120" w:line="300" w:lineRule="auto"/>
        <w:jc w:val="left"/>
      </w:pPr>
      <w:r>
        <w:rPr>
          <w:rFonts w:ascii="Calibri" w:hAnsi="Calibri"/>
          <w:b w:val="0"/>
          <w:i w:val="0"/>
          <w:color w:val="212B36"/>
          <w:sz w:val="22"/>
        </w:rPr>
        <w:t>Claude Cowork is the 360 DS AI workflow implementation service, helping organisations move beyond basic chat usage to embed Anthropic Claude into real operational workflows. Through Claude Code, Projects, and MCP, we design governed, high-performance digital work environments that improve knowledge access, accelerate delivery, and support better decision-making. Governance as a Service is built into the model, covering privacy, transparency, human oversight, risk classification, control design, and assurance alignment with current Australian and NSW AI governance expectations.</w:t>
      </w:r>
    </w:p>
    <w:p>
      <w:r>
        <w:br w:type="page"/>
      </w:r>
    </w:p>
    <w:p>
      <w:pPr>
        <w:keepNext/>
        <w:pBdr>
          <w:bottom w:val="single" w:sz="8" w:space="6" w:color="1E2761"/>
        </w:pBdr>
        <w:spacing w:before="360" w:after="160"/>
      </w:pPr>
      <w:r>
        <w:rPr>
          <w:rFonts w:ascii="Calibri" w:hAnsi="Calibri"/>
          <w:b/>
          <w:i w:val="0"/>
          <w:color w:val="1E2761"/>
          <w:sz w:val="36"/>
        </w:rPr>
        <w:t>Engage 360 DS</w:t>
      </w:r>
    </w:p>
    <w:p>
      <w:pPr>
        <w:spacing w:before="0" w:after="120" w:line="300" w:lineRule="auto"/>
        <w:jc w:val="left"/>
      </w:pPr>
      <w:r>
        <w:rPr>
          <w:rFonts w:ascii="Calibri" w:hAnsi="Calibri"/>
          <w:b w:val="0"/>
          <w:i w:val="0"/>
          <w:color w:val="212B36"/>
          <w:sz w:val="22"/>
        </w:rPr>
        <w:t>We work with executive sponsors, program leaders, and procurement teams to scope engagements that match the level of governance, delivery, and assurance required.</w:t>
      </w:r>
    </w:p>
    <w:p>
      <w:pPr>
        <w:spacing w:after="160"/>
      </w:pPr>
    </w:p>
    <w:tbl>
      <w:tblPr>
        <w:tblW w:type="auto" w:w="0"/>
        <w:jc w:val="center"/>
        <w:tblLayout w:type="fixed"/>
        <w:tblLook w:firstColumn="1" w:firstRow="1" w:lastColumn="0" w:lastRow="0" w:noHBand="0" w:noVBand="1" w:val="04A0"/>
      </w:tblPr>
      <w:tblGrid>
        <w:gridCol w:w="4819"/>
        <w:gridCol w:w="4819"/>
      </w:tblGrid>
      <w:tr>
        <w:tc>
          <w:tcPr>
            <w:tcW w:type="dxa" w:w="4819"/>
            <w:tcBorders>
              <w:top w:val="nil"/>
              <w:start w:val="nil"/>
              <w:bottom w:val="nil"/>
              <w:end w:val="nil"/>
            </w:tcBorders>
            <w:shd w:val="clear" w:color="auto" w:fill="1E2761"/>
            <w:tcMar>
              <w:top w:w="220" w:type="dxa"/>
              <w:start w:w="220" w:type="dxa"/>
              <w:bottom w:w="220" w:type="dxa"/>
              <w:end w:w="220" w:type="dxa"/>
            </w:tcMar>
          </w:tcPr>
          <w:p>
            <w:pPr>
              <w:spacing w:after="80"/>
            </w:pPr>
            <w:r>
              <w:rPr>
                <w:rFonts w:ascii="Calibri" w:hAnsi="Calibri"/>
                <w:b/>
                <w:i w:val="0"/>
                <w:color w:val="FFFFFF"/>
                <w:sz w:val="24"/>
              </w:rPr>
              <w:t>Project and Program Management</w:t>
            </w:r>
          </w:p>
          <w:p>
            <w:pPr>
              <w:spacing w:line="300" w:lineRule="auto"/>
            </w:pPr>
            <w:r>
              <w:rPr>
                <w:rFonts w:ascii="Calibri" w:hAnsi="Calibri"/>
                <w:b w:val="0"/>
                <w:i w:val="0"/>
                <w:color w:val="FFFFFF"/>
                <w:sz w:val="22"/>
              </w:rPr>
              <w:t>Senior delivery leadership, governance uplift, recovery of at-risk programs, procurement support, and assurance for complex transformation.</w:t>
            </w:r>
          </w:p>
        </w:tc>
        <w:tc>
          <w:tcPr>
            <w:tcW w:type="dxa" w:w="4819"/>
            <w:tcBorders>
              <w:top w:val="nil"/>
              <w:start w:val="nil"/>
              <w:bottom w:val="nil"/>
              <w:end w:val="nil"/>
            </w:tcBorders>
            <w:shd w:val="clear" w:color="auto" w:fill="36454F"/>
            <w:tcMar>
              <w:top w:w="220" w:type="dxa"/>
              <w:start w:w="220" w:type="dxa"/>
              <w:bottom w:w="220" w:type="dxa"/>
              <w:end w:w="220" w:type="dxa"/>
            </w:tcMar>
          </w:tcPr>
          <w:p>
            <w:pPr>
              <w:spacing w:after="80"/>
            </w:pPr>
            <w:r>
              <w:rPr>
                <w:rFonts w:ascii="Calibri" w:hAnsi="Calibri"/>
                <w:b/>
                <w:i w:val="0"/>
                <w:color w:val="FFFFFF"/>
                <w:sz w:val="24"/>
              </w:rPr>
              <w:t>Claude Cowork</w:t>
            </w:r>
          </w:p>
          <w:p>
            <w:pPr>
              <w:spacing w:line="300" w:lineRule="auto"/>
            </w:pPr>
            <w:r>
              <w:rPr>
                <w:rFonts w:ascii="Calibri" w:hAnsi="Calibri"/>
                <w:b w:val="0"/>
                <w:i w:val="0"/>
                <w:color w:val="FFFFFF"/>
                <w:sz w:val="22"/>
              </w:rPr>
              <w:t>Governed implementation of Anthropic Claude into operational workflows through Claude Code, Projects, and MCP, with end-to-end AI governance.</w:t>
            </w:r>
          </w:p>
        </w:tc>
      </w:tr>
    </w:tbl>
    <w:p>
      <w:pPr>
        <w:spacing w:after="280"/>
      </w:pPr>
    </w:p>
    <w:p>
      <w:pPr>
        <w:keepNext/>
        <w:spacing w:before="280" w:after="120"/>
      </w:pPr>
      <w:r>
        <w:rPr>
          <w:rFonts w:ascii="Calibri" w:hAnsi="Calibri"/>
          <w:b/>
          <w:i w:val="0"/>
          <w:color w:val="1E2761"/>
          <w:sz w:val="28"/>
        </w:rPr>
        <w:t>Contact</w:t>
      </w:r>
    </w:p>
    <w:p>
      <w:pPr>
        <w:spacing w:before="0" w:after="120" w:line="300" w:lineRule="auto"/>
        <w:jc w:val="left"/>
      </w:pPr>
      <w:r>
        <w:rPr>
          <w:rFonts w:ascii="Calibri" w:hAnsi="Calibri"/>
          <w:b w:val="0"/>
          <w:i w:val="0"/>
          <w:color w:val="212B36"/>
          <w:sz w:val="22"/>
        </w:rPr>
        <w:t>Web: 360ds.com.au</w:t>
      </w:r>
    </w:p>
    <w:p>
      <w:pPr>
        <w:spacing w:before="0" w:after="120" w:line="300" w:lineRule="auto"/>
        <w:jc w:val="left"/>
      </w:pPr>
      <w:r>
        <w:rPr>
          <w:rFonts w:ascii="Calibri" w:hAnsi="Calibri"/>
          <w:b w:val="0"/>
          <w:i w:val="0"/>
          <w:color w:val="212B36"/>
          <w:sz w:val="22"/>
        </w:rPr>
        <w:t>Capability focus: Delivery, Governance, Assurance, AI Workflow Implementation</w:t>
      </w:r>
    </w:p>
    <w:p>
      <w:pPr>
        <w:spacing w:before="0" w:after="120" w:line="300" w:lineRule="auto"/>
        <w:jc w:val="left"/>
      </w:pPr>
      <w:r>
        <w:rPr>
          <w:rFonts w:ascii="Calibri" w:hAnsi="Calibri"/>
          <w:b w:val="0"/>
          <w:i w:val="0"/>
          <w:color w:val="212B36"/>
          <w:sz w:val="22"/>
        </w:rPr>
        <w:t>Engagement model: Senior advisory and hands-on implementation, fixed-scope or T and M, with governance baked in.</w:t>
      </w:r>
    </w:p>
    <w:p>
      <w:pPr>
        <w:spacing w:after="400"/>
      </w:pPr>
    </w:p>
    <w:p>
      <w:pPr>
        <w:spacing w:before="0" w:after="120" w:line="300" w:lineRule="auto"/>
        <w:jc w:val="left"/>
      </w:pPr>
      <w:r>
        <w:rPr>
          <w:rFonts w:ascii="Calibri" w:hAnsi="Calibri"/>
          <w:b w:val="0"/>
          <w:i/>
          <w:color w:val="36454F"/>
          <w:sz w:val="18"/>
        </w:rPr>
        <w:t>360 DS, Australian advisory and delivery services. This document is a capability statement and not a commercial offer.</w:t>
      </w:r>
    </w:p>
    <w:sectPr w:rsidR="00FC693F" w:rsidRPr="0006063C" w:rsidSect="00034616">
      <w:headerReference w:type="default" r:id="rId9"/>
      <w:footerReference w:type="default" r:id="rId10"/>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6" w:space="4" w:color="B9C2D0"/>
      </w:pBdr>
      <w:tabs>
        <w:tab w:pos="9638" w:val="right"/>
      </w:tabs>
    </w:pPr>
    <w:r>
      <w:rPr>
        <w:rFonts w:ascii="Calibri" w:hAnsi="Calibri"/>
        <w:b/>
        <w:i w:val="0"/>
        <w:color w:val="1E2761"/>
        <w:sz w:val="18"/>
      </w:rPr>
      <w:t>360ds.com.au</w:t>
    </w:r>
    <w:r>
      <w:rPr>
        <w:rFonts w:ascii="Calibri" w:hAnsi="Calibri"/>
        <w:b w:val="0"/>
        <w:i w:val="0"/>
        <w:color w:val="36454F"/>
        <w:sz w:val="18"/>
      </w:rPr>
      <w:tab/>
      <w:t xml:space="preserve">Page </w:t>
    </w:r>
    <w:r>
      <w:rPr>
        <w:rFonts w:ascii="Calibri" w:hAnsi="Calibri"/>
        <w:b w:val="0"/>
        <w:i w:val="0"/>
        <w:color w:val="36454F"/>
        <w:sz w:val="18"/>
      </w:rPr>
      <w:fldChar w:fldCharType="begin"/>
      <w:instrText xml:space="preserve"> PAGE </w:instrText>
      <w:fldChar w:fldCharType="end"/>
    </w:r>
    <w:r>
      <w:rPr>
        <w:rFonts w:ascii="Calibri" w:hAnsi="Calibri"/>
        <w:b w:val="0"/>
        <w:i w:val="0"/>
        <w:color w:val="36454F"/>
        <w:sz w:val="18"/>
      </w:rPr>
      <w:t xml:space="preserve"> of </w:t>
    </w:r>
    <w:r>
      <w:rPr>
        <w:rFonts w:ascii="Calibri" w:hAnsi="Calibri"/>
        <w:b w:val="0"/>
        <w:i w:val="0"/>
        <w:color w:val="36454F"/>
        <w:sz w:val="18"/>
      </w:rP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8" w:space="6" w:color="1E2761"/>
      </w:pBdr>
      <w:tabs>
        <w:tab w:pos="9638" w:val="right"/>
      </w:tabs>
    </w:pPr>
    <w:r>
      <w:rPr>
        <w:rFonts w:ascii="Calibri" w:hAnsi="Calibri"/>
        <w:b/>
        <w:i w:val="0"/>
        <w:color w:val="1E2761"/>
        <w:sz w:val="20"/>
      </w:rPr>
      <w:t>360 DS</w:t>
    </w:r>
    <w:r>
      <w:rPr>
        <w:rFonts w:ascii="Calibri" w:hAnsi="Calibri"/>
        <w:b w:val="0"/>
        <w:i w:val="0"/>
        <w:color w:val="36454F"/>
        <w:sz w:val="18"/>
      </w:rPr>
      <w:t xml:space="preserve">    Delivery. Governance. Assurance.</w:t>
    </w:r>
    <w:r>
      <w:rPr>
        <w:rFonts w:ascii="Calibri" w:hAnsi="Calibri"/>
        <w:b w:val="0"/>
        <w:i w:val="0"/>
        <w:color w:val="36454F"/>
        <w:sz w:val="18"/>
      </w:rPr>
      <w:tab/>
      <w:t>Capability Statement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